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89535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63" w:lineRule="exact"/>
        <w:rPr>
          <w:rFonts w:ascii="MS PGothic" w:cs="MS PGothic" w:eastAsia="MS PGothic" w:hAnsi="MS PGothic"/>
          <w:sz w:val="20"/>
          <w:szCs w:val="20"/>
          <w:color w:val="auto"/>
          <w:highlight w:val="black"/>
        </w:rPr>
      </w:pPr>
    </w:p>
    <w:p>
      <w:pPr>
        <w:ind w:left="3740"/>
        <w:spacing w:after="0"/>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For the quarterly period ended September 30, 2017</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72"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85" w:lineRule="exact"/>
        <w:rPr>
          <w:rFonts w:ascii="MS PGothic" w:cs="MS PGothic" w:eastAsia="MS PGothic" w:hAnsi="MS PGothic"/>
          <w:sz w:val="20"/>
          <w:szCs w:val="20"/>
          <w:color w:val="auto"/>
          <w:highlight w:val="black"/>
        </w:rPr>
      </w:pPr>
    </w:p>
    <w:p>
      <w:pPr>
        <w:ind w:left="4280"/>
        <w:spacing w:after="0"/>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Clearside Biomedical,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3220" w:type="dxa"/>
            <w:vAlign w:val="bottom"/>
          </w:tcPr>
          <w:p>
            <w:pPr>
              <w:jc w:val="center"/>
              <w:ind w:right="379"/>
              <w:spacing w:after="0"/>
              <w:rPr>
                <w:sz w:val="20"/>
                <w:szCs w:val="20"/>
                <w:color w:val="auto"/>
              </w:rPr>
            </w:pPr>
            <w:r>
              <w:rPr>
                <w:rFonts w:ascii="Arial" w:cs="Arial" w:eastAsia="Arial" w:hAnsi="Arial"/>
                <w:sz w:val="18"/>
                <w:szCs w:val="18"/>
                <w:b w:val="1"/>
                <w:bCs w:val="1"/>
                <w:color w:val="auto"/>
                <w:w w:val="91"/>
              </w:rPr>
              <w:t>Delaware</w:t>
            </w:r>
          </w:p>
        </w:tc>
        <w:tc>
          <w:tcPr>
            <w:tcW w:w="4440" w:type="dxa"/>
            <w:vAlign w:val="bottom"/>
          </w:tcPr>
          <w:p>
            <w:pPr>
              <w:jc w:val="right"/>
              <w:ind w:right="59"/>
              <w:spacing w:after="0"/>
              <w:rPr>
                <w:sz w:val="20"/>
                <w:szCs w:val="20"/>
                <w:color w:val="auto"/>
              </w:rPr>
            </w:pPr>
            <w:r>
              <w:rPr>
                <w:rFonts w:ascii="Arial" w:cs="Arial" w:eastAsia="Arial" w:hAnsi="Arial"/>
                <w:sz w:val="18"/>
                <w:szCs w:val="18"/>
                <w:b w:val="1"/>
                <w:bCs w:val="1"/>
                <w:color w:val="auto"/>
              </w:rPr>
              <w:t>45-2437375</w:t>
            </w:r>
          </w:p>
        </w:tc>
      </w:tr>
      <w:tr>
        <w:trPr>
          <w:trHeight w:val="149"/>
        </w:trPr>
        <w:tc>
          <w:tcPr>
            <w:tcW w:w="3220" w:type="dxa"/>
            <w:vAlign w:val="bottom"/>
          </w:tcPr>
          <w:p>
            <w:pPr>
              <w:jc w:val="center"/>
              <w:ind w:right="3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440" w:type="dxa"/>
            <w:vAlign w:val="bottom"/>
          </w:tcPr>
          <w:p>
            <w:pPr>
              <w:jc w:val="center"/>
              <w:ind w:left="323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220" w:type="dxa"/>
            <w:vAlign w:val="bottom"/>
          </w:tcPr>
          <w:p>
            <w:pPr>
              <w:jc w:val="center"/>
              <w:ind w:right="379"/>
              <w:spacing w:after="0"/>
              <w:rPr>
                <w:sz w:val="20"/>
                <w:szCs w:val="20"/>
                <w:color w:val="auto"/>
              </w:rPr>
            </w:pPr>
            <w:r>
              <w:rPr>
                <w:rFonts w:ascii="Arial" w:cs="Arial" w:eastAsia="Arial" w:hAnsi="Arial"/>
                <w:sz w:val="14"/>
                <w:szCs w:val="14"/>
                <w:b w:val="1"/>
                <w:bCs w:val="1"/>
                <w:color w:val="auto"/>
                <w:w w:val="94"/>
              </w:rPr>
              <w:t>incorporation or organization)</w:t>
            </w:r>
          </w:p>
        </w:tc>
        <w:tc>
          <w:tcPr>
            <w:tcW w:w="4440" w:type="dxa"/>
            <w:vAlign w:val="bottom"/>
          </w:tcPr>
          <w:p>
            <w:pPr>
              <w:jc w:val="center"/>
              <w:ind w:left="3219"/>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3220" w:type="dxa"/>
            <w:vAlign w:val="bottom"/>
          </w:tcPr>
          <w:p>
            <w:pPr>
              <w:jc w:val="center"/>
              <w:ind w:right="379"/>
              <w:spacing w:after="0"/>
              <w:rPr>
                <w:sz w:val="20"/>
                <w:szCs w:val="20"/>
                <w:color w:val="auto"/>
              </w:rPr>
            </w:pPr>
            <w:r>
              <w:rPr>
                <w:rFonts w:ascii="Arial" w:cs="Arial" w:eastAsia="Arial" w:hAnsi="Arial"/>
                <w:sz w:val="18"/>
                <w:szCs w:val="18"/>
                <w:b w:val="1"/>
                <w:bCs w:val="1"/>
                <w:color w:val="auto"/>
                <w:w w:val="91"/>
              </w:rPr>
              <w:t>900 North Point Parkway, Suite 200</w:t>
            </w:r>
          </w:p>
        </w:tc>
        <w:tc>
          <w:tcPr>
            <w:tcW w:w="4440" w:type="dxa"/>
            <w:vAlign w:val="bottom"/>
          </w:tcPr>
          <w:p>
            <w:pPr>
              <w:spacing w:after="0"/>
              <w:rPr>
                <w:sz w:val="24"/>
                <w:szCs w:val="24"/>
                <w:color w:val="auto"/>
              </w:rPr>
            </w:pPr>
          </w:p>
        </w:tc>
      </w:tr>
      <w:tr>
        <w:trPr>
          <w:trHeight w:val="212"/>
        </w:trPr>
        <w:tc>
          <w:tcPr>
            <w:tcW w:w="3220" w:type="dxa"/>
            <w:vAlign w:val="bottom"/>
          </w:tcPr>
          <w:p>
            <w:pPr>
              <w:jc w:val="center"/>
              <w:ind w:right="379"/>
              <w:spacing w:after="0"/>
              <w:rPr>
                <w:sz w:val="20"/>
                <w:szCs w:val="20"/>
                <w:color w:val="auto"/>
              </w:rPr>
            </w:pPr>
            <w:r>
              <w:rPr>
                <w:rFonts w:ascii="Arial" w:cs="Arial" w:eastAsia="Arial" w:hAnsi="Arial"/>
                <w:sz w:val="18"/>
                <w:szCs w:val="18"/>
                <w:b w:val="1"/>
                <w:bCs w:val="1"/>
                <w:color w:val="auto"/>
                <w:w w:val="95"/>
              </w:rPr>
              <w:t>Alpharetta, GA</w:t>
            </w:r>
          </w:p>
        </w:tc>
        <w:tc>
          <w:tcPr>
            <w:tcW w:w="4440" w:type="dxa"/>
            <w:vAlign w:val="bottom"/>
          </w:tcPr>
          <w:p>
            <w:pPr>
              <w:jc w:val="right"/>
              <w:ind w:right="259"/>
              <w:spacing w:after="0"/>
              <w:rPr>
                <w:sz w:val="20"/>
                <w:szCs w:val="20"/>
                <w:color w:val="auto"/>
              </w:rPr>
            </w:pPr>
            <w:r>
              <w:rPr>
                <w:rFonts w:ascii="Arial" w:cs="Arial" w:eastAsia="Arial" w:hAnsi="Arial"/>
                <w:sz w:val="18"/>
                <w:szCs w:val="18"/>
                <w:b w:val="1"/>
                <w:bCs w:val="1"/>
                <w:color w:val="auto"/>
              </w:rPr>
              <w:t>30005</w:t>
            </w:r>
          </w:p>
        </w:tc>
      </w:tr>
      <w:tr>
        <w:trPr>
          <w:trHeight w:val="186"/>
        </w:trPr>
        <w:tc>
          <w:tcPr>
            <w:tcW w:w="3220" w:type="dxa"/>
            <w:vAlign w:val="bottom"/>
          </w:tcPr>
          <w:p>
            <w:pPr>
              <w:jc w:val="center"/>
              <w:ind w:right="3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40" w:type="dxa"/>
            <w:vAlign w:val="bottom"/>
          </w:tcPr>
          <w:p>
            <w:pPr>
              <w:jc w:val="center"/>
              <w:ind w:left="3219"/>
              <w:spacing w:after="0"/>
              <w:rPr>
                <w:sz w:val="20"/>
                <w:szCs w:val="20"/>
                <w:color w:val="auto"/>
              </w:rPr>
            </w:pPr>
            <w:r>
              <w:rPr>
                <w:rFonts w:ascii="Arial" w:cs="Arial" w:eastAsia="Arial" w:hAnsi="Arial"/>
                <w:sz w:val="14"/>
                <w:szCs w:val="14"/>
                <w:b w:val="1"/>
                <w:bCs w:val="1"/>
                <w:color w:val="auto"/>
                <w:w w:val="95"/>
              </w:rPr>
              <w:t>(Zip Code)</w:t>
            </w:r>
          </w:p>
        </w:tc>
      </w:tr>
      <w:tr>
        <w:trPr>
          <w:trHeight w:val="269"/>
        </w:trPr>
        <w:tc>
          <w:tcPr>
            <w:tcW w:w="3220" w:type="dxa"/>
            <w:vAlign w:val="bottom"/>
          </w:tcPr>
          <w:p>
            <w:pPr>
              <w:spacing w:after="0"/>
              <w:rPr>
                <w:sz w:val="23"/>
                <w:szCs w:val="23"/>
                <w:color w:val="auto"/>
              </w:rPr>
            </w:pPr>
          </w:p>
        </w:tc>
        <w:tc>
          <w:tcPr>
            <w:tcW w:w="4440" w:type="dxa"/>
            <w:vAlign w:val="bottom"/>
          </w:tcPr>
          <w:p>
            <w:pPr>
              <w:jc w:val="right"/>
              <w:ind w:right="2779"/>
              <w:spacing w:after="0"/>
              <w:rPr>
                <w:sz w:val="20"/>
                <w:szCs w:val="20"/>
                <w:color w:val="auto"/>
              </w:rPr>
            </w:pPr>
            <w:r>
              <w:rPr>
                <w:rFonts w:ascii="Arial" w:cs="Arial" w:eastAsia="Arial" w:hAnsi="Arial"/>
                <w:sz w:val="18"/>
                <w:szCs w:val="18"/>
                <w:b w:val="1"/>
                <w:bCs w:val="1"/>
                <w:color w:val="auto"/>
              </w:rPr>
              <w:t>(678) 270-3631</w:t>
            </w:r>
          </w:p>
        </w:tc>
      </w:tr>
    </w:tbl>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2"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1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132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514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 reporting company)</w:t>
            </w:r>
          </w:p>
        </w:tc>
        <w:tc>
          <w:tcPr>
            <w:tcW w:w="3440" w:type="dxa"/>
            <w:vAlign w:val="bottom"/>
          </w:tcPr>
          <w:p>
            <w:pPr>
              <w:ind w:left="1320"/>
              <w:spacing w:after="0"/>
              <w:rPr>
                <w:sz w:val="20"/>
                <w:szCs w:val="20"/>
                <w:color w:val="auto"/>
              </w:rPr>
            </w:pPr>
            <w:r>
              <w:rPr>
                <w:rFonts w:ascii="Arial" w:cs="Arial" w:eastAsia="Arial" w:hAnsi="Arial"/>
                <w:sz w:val="18"/>
                <w:szCs w:val="18"/>
                <w:color w:val="auto"/>
              </w:rPr>
              <w:t>Small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1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74" w:lineRule="exact"/>
        <w:rPr>
          <w:sz w:val="24"/>
          <w:szCs w:val="24"/>
          <w:color w:val="auto"/>
        </w:rPr>
      </w:pPr>
    </w:p>
    <w:p>
      <w:pPr>
        <w:ind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right="134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9, 2017, the registrant had 25,342,445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140" w:type="dxa"/>
            <w:vAlign w:val="bottom"/>
            <w:gridSpan w:val="7"/>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460" w:type="dxa"/>
            <w:vAlign w:val="bottom"/>
            <w:gridSpan w:val="3"/>
            <w:vMerge w:val="restart"/>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140" w:type="dxa"/>
            <w:vAlign w:val="bottom"/>
            <w:tcBorders>
              <w:bottom w:val="single" w:sz="8" w:color="0000EE"/>
            </w:tcBorders>
            <w:gridSpan w:val="7"/>
            <w:vMerge w:val="continue"/>
          </w:tcPr>
          <w:p>
            <w:pPr>
              <w:spacing w:after="0"/>
              <w:rPr>
                <w:sz w:val="15"/>
                <w:szCs w:val="15"/>
                <w:color w:val="auto"/>
              </w:rPr>
            </w:pPr>
          </w:p>
        </w:tc>
        <w:tc>
          <w:tcPr>
            <w:tcW w:w="346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8540" w:type="dxa"/>
            <w:vAlign w:val="bottom"/>
            <w:gridSpan w:val="13"/>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Balance Sheets as of September 30, 2017 (unaudited) and December 31, 2016</w:t>
              </w:r>
            </w:hyperlink>
          </w:p>
        </w:tc>
        <w:tc>
          <w:tcPr>
            <w:tcW w:w="444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Statements of Operations and Comprehensive Loss for the three and nine months ended September 30, 2017 and 2016 (unaudited)</w:t>
              </w:r>
            </w:hyperlink>
          </w:p>
        </w:tc>
        <w:tc>
          <w:tcPr>
            <w:tcW w:w="6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Statements of Cash Flows for the nine months ended September 30, 2017 and 2016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318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0060" w:type="dxa"/>
            <w:vAlign w:val="bottom"/>
            <w:gridSpan w:val="1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360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0060" w:type="dxa"/>
            <w:vAlign w:val="bottom"/>
            <w:gridSpan w:val="1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9"/>
          </w:tcPr>
          <w:p>
            <w:pPr>
              <w:jc w:val="center"/>
              <w:ind w:right="3620"/>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620" w:type="dxa"/>
            <w:vAlign w:val="bottom"/>
            <w:gridSpan w:val="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2820" w:type="dxa"/>
            <w:vAlign w:val="bottom"/>
            <w:tcBorders>
              <w:top w:val="single" w:sz="8" w:color="0000EE"/>
            </w:tcBorders>
            <w:gridSpan w:val="4"/>
          </w:tcPr>
          <w:p>
            <w:pPr>
              <w:spacing w:after="0"/>
              <w:rPr>
                <w:sz w:val="18"/>
                <w:szCs w:val="18"/>
                <w:color w:val="auto"/>
              </w:rPr>
            </w:pPr>
          </w:p>
        </w:tc>
        <w:tc>
          <w:tcPr>
            <w:tcW w:w="3620" w:type="dxa"/>
            <w:vAlign w:val="bottom"/>
            <w:gridSpan w:val="5"/>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Risk Factors</w:t>
              </w:r>
            </w:hyperlink>
          </w:p>
        </w:tc>
        <w:tc>
          <w:tcPr>
            <w:tcW w:w="420" w:type="dxa"/>
            <w:vAlign w:val="bottom"/>
            <w:tcBorders>
              <w:top w:val="single" w:sz="8" w:color="0000EE"/>
            </w:tcBorders>
          </w:tcPr>
          <w:p>
            <w:pPr>
              <w:spacing w:after="0"/>
              <w:rPr>
                <w:sz w:val="17"/>
                <w:szCs w:val="17"/>
                <w:color w:val="auto"/>
              </w:rPr>
            </w:pPr>
          </w:p>
        </w:tc>
        <w:tc>
          <w:tcPr>
            <w:tcW w:w="872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Unregistered Sales of Equity Securities and Use of Proceeds</w:t>
              </w:r>
            </w:hyperlink>
          </w:p>
        </w:tc>
        <w:tc>
          <w:tcPr>
            <w:tcW w:w="570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0060" w:type="dxa"/>
            <w:vAlign w:val="bottom"/>
            <w:gridSpan w:val="1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100" w:type="dxa"/>
            <w:vAlign w:val="bottom"/>
            <w:tcBorders>
              <w:bottom w:val="single" w:sz="8" w:color="CFF0FC"/>
            </w:tcBorders>
          </w:tcPr>
          <w:p>
            <w:pPr>
              <w:spacing w:after="0"/>
              <w:rPr>
                <w:sz w:val="14"/>
                <w:szCs w:val="14"/>
                <w:color w:val="auto"/>
              </w:rPr>
            </w:pPr>
          </w:p>
        </w:tc>
        <w:tc>
          <w:tcPr>
            <w:tcW w:w="8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00" w:type="dxa"/>
            <w:vAlign w:val="bottom"/>
          </w:tcPr>
          <w:p>
            <w:pPr>
              <w:spacing w:after="0"/>
              <w:rPr>
                <w:sz w:val="20"/>
                <w:szCs w:val="20"/>
                <w:color w:val="auto"/>
              </w:rPr>
            </w:pPr>
            <w:r>
              <w:rPr>
                <w:rFonts w:ascii="Arial" w:cs="Arial" w:eastAsia="Arial" w:hAnsi="Arial"/>
                <w:sz w:val="16"/>
                <w:szCs w:val="16"/>
                <w:color w:val="auto"/>
              </w:rPr>
              <w:t>Current assets: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16,289</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0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36,338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48,807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current assets</w:t>
            </w:r>
          </w:p>
        </w:tc>
        <w:tc>
          <w:tcPr>
            <w:tcW w:w="8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3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assets</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53,480</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84,317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0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8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3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FF0FC"/>
          </w:tcPr>
          <w:p>
            <w:pPr>
              <w:ind w:left="620"/>
              <w:spacing w:after="0"/>
              <w:rPr>
                <w:sz w:val="20"/>
                <w:szCs w:val="20"/>
                <w:color w:val="auto"/>
              </w:rPr>
            </w:pPr>
            <w:r>
              <w:rPr>
                <w:rFonts w:ascii="Arial" w:cs="Arial" w:eastAsia="Arial" w:hAnsi="Arial"/>
                <w:sz w:val="16"/>
                <w:szCs w:val="16"/>
                <w:color w:val="auto"/>
              </w:rPr>
              <w:t>Total assets</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54,875</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84,813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8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0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0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5,075</w:t>
            </w:r>
          </w:p>
        </w:tc>
        <w:tc>
          <w:tcPr>
            <w:tcW w:w="38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liabilities</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4,004</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00" w:type="dxa"/>
            <w:vAlign w:val="bottom"/>
          </w:tcPr>
          <w:p>
            <w:pPr>
              <w:ind w:left="260"/>
              <w:spacing w:after="0"/>
              <w:rPr>
                <w:sz w:val="20"/>
                <w:szCs w:val="20"/>
                <w:color w:val="auto"/>
              </w:rPr>
            </w:pPr>
            <w:r>
              <w:rPr>
                <w:rFonts w:ascii="Arial" w:cs="Arial" w:eastAsia="Arial" w:hAnsi="Arial"/>
                <w:sz w:val="16"/>
                <w:szCs w:val="16"/>
                <w:color w:val="auto"/>
              </w:rPr>
              <w:t>Current portion of long-term debt</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portion of deferred rent</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current liabilities</w:t>
            </w:r>
          </w:p>
        </w:tc>
        <w:tc>
          <w:tcPr>
            <w:tcW w:w="8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3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11,695</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00" w:type="dxa"/>
            <w:vAlign w:val="bottom"/>
          </w:tcPr>
          <w:p>
            <w:pPr>
              <w:spacing w:after="0"/>
              <w:rPr>
                <w:sz w:val="20"/>
                <w:szCs w:val="20"/>
                <w:color w:val="auto"/>
              </w:rPr>
            </w:pPr>
            <w:r>
              <w:rPr>
                <w:rFonts w:ascii="Arial" w:cs="Arial" w:eastAsia="Arial" w:hAnsi="Arial"/>
                <w:sz w:val="16"/>
                <w:szCs w:val="16"/>
                <w:color w:val="auto"/>
              </w:rPr>
              <w:t>Long-term debt</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5,503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00" w:type="dxa"/>
            <w:vAlign w:val="bottom"/>
            <w:shd w:val="clear" w:color="auto" w:fill="CFF0FC"/>
          </w:tcPr>
          <w:p>
            <w:pPr>
              <w:spacing w:after="0"/>
              <w:rPr>
                <w:sz w:val="20"/>
                <w:szCs w:val="20"/>
                <w:color w:val="auto"/>
              </w:rPr>
            </w:pPr>
            <w:r>
              <w:rPr>
                <w:rFonts w:ascii="Arial" w:cs="Arial" w:eastAsia="Arial" w:hAnsi="Arial"/>
                <w:sz w:val="16"/>
                <w:szCs w:val="16"/>
                <w:color w:val="auto"/>
              </w:rPr>
              <w:t>Deferred rent</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1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Deferred revenue</w:t>
            </w:r>
          </w:p>
        </w:tc>
        <w:tc>
          <w:tcPr>
            <w:tcW w:w="8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3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00" w:type="dxa"/>
            <w:vAlign w:val="bottom"/>
            <w:shd w:val="clear" w:color="auto" w:fill="CFF0FC"/>
          </w:tcPr>
          <w:p>
            <w:pPr>
              <w:ind w:left="620"/>
              <w:spacing w:after="0"/>
              <w:rPr>
                <w:sz w:val="20"/>
                <w:szCs w:val="20"/>
                <w:color w:val="auto"/>
              </w:rPr>
            </w:pPr>
            <w:r>
              <w:rPr>
                <w:rFonts w:ascii="Arial" w:cs="Arial" w:eastAsia="Arial" w:hAnsi="Arial"/>
                <w:sz w:val="16"/>
                <w:szCs w:val="16"/>
                <w:color w:val="auto"/>
              </w:rPr>
              <w:t>Total liabilities</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17,980</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0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0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100" w:type="dxa"/>
            <w:vAlign w:val="bottom"/>
          </w:tcPr>
          <w:p>
            <w:pPr>
              <w:ind w:left="260"/>
              <w:spacing w:after="0"/>
              <w:rPr>
                <w:sz w:val="20"/>
                <w:szCs w:val="20"/>
                <w:color w:val="auto"/>
              </w:rPr>
            </w:pPr>
            <w:r>
              <w:rPr>
                <w:rFonts w:ascii="Arial" w:cs="Arial" w:eastAsia="Arial" w:hAnsi="Arial"/>
                <w:sz w:val="16"/>
                <w:szCs w:val="16"/>
                <w:color w:val="auto"/>
              </w:rPr>
              <w:t>Preferred stock, $0.001 par value; 10,000,000 shares authorized and no shares issued at</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00" w:type="dxa"/>
            <w:vAlign w:val="bottom"/>
          </w:tcPr>
          <w:p>
            <w:pPr>
              <w:ind w:left="380"/>
              <w:spacing w:after="0"/>
              <w:rPr>
                <w:sz w:val="20"/>
                <w:szCs w:val="20"/>
                <w:color w:val="auto"/>
              </w:rPr>
            </w:pPr>
            <w:r>
              <w:rPr>
                <w:rFonts w:ascii="Arial" w:cs="Arial" w:eastAsia="Arial" w:hAnsi="Arial"/>
                <w:sz w:val="16"/>
                <w:szCs w:val="16"/>
                <w:color w:val="auto"/>
              </w:rPr>
              <w:t>September 30, 2017 and December 31, 2016</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$0.001 par value; 100,000,000 shares authorized at September 30, 2017 and</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December 31, 2016; 25,342,445 and 24,573,033 shares issued and outstanding at</w:t>
            </w: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1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September 30, 2017 and December 31, 2016, respectively</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0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144,605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136,892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deficit</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(107,727)</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(65,245)</w:t>
            </w:r>
          </w:p>
        </w:tc>
        <w:tc>
          <w:tcPr>
            <w:tcW w:w="0" w:type="dxa"/>
            <w:vAlign w:val="bottom"/>
          </w:tcPr>
          <w:p>
            <w:pPr>
              <w:spacing w:after="0"/>
              <w:rPr>
                <w:sz w:val="1"/>
                <w:szCs w:val="1"/>
                <w:color w:val="auto"/>
              </w:rPr>
            </w:pPr>
          </w:p>
        </w:tc>
      </w:tr>
      <w:tr>
        <w:trPr>
          <w:trHeight w:val="213"/>
        </w:trPr>
        <w:tc>
          <w:tcPr>
            <w:tcW w:w="7100" w:type="dxa"/>
            <w:vAlign w:val="bottom"/>
          </w:tcPr>
          <w:p>
            <w:pPr>
              <w:ind w:left="260"/>
              <w:spacing w:after="0"/>
              <w:rPr>
                <w:sz w:val="20"/>
                <w:szCs w:val="20"/>
                <w:color w:val="auto"/>
              </w:rPr>
            </w:pPr>
            <w:r>
              <w:rPr>
                <w:rFonts w:ascii="Arial" w:cs="Arial" w:eastAsia="Arial" w:hAnsi="Arial"/>
                <w:sz w:val="16"/>
                <w:szCs w:val="16"/>
                <w:color w:val="auto"/>
              </w:rPr>
              <w:t>Accumulated other comprehensive loss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710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Total stockholders’ equity</w:t>
            </w:r>
          </w:p>
        </w:tc>
        <w:tc>
          <w:tcPr>
            <w:tcW w:w="8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36,895</w:t>
            </w:r>
          </w:p>
        </w:tc>
        <w:tc>
          <w:tcPr>
            <w:tcW w:w="3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71,659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00" w:type="dxa"/>
            <w:vAlign w:val="bottom"/>
          </w:tcPr>
          <w:p>
            <w:pPr>
              <w:ind w:left="620"/>
              <w:spacing w:after="0"/>
              <w:rPr>
                <w:sz w:val="20"/>
                <w:szCs w:val="20"/>
                <w:color w:val="auto"/>
              </w:rPr>
            </w:pPr>
            <w:r>
              <w:rPr>
                <w:rFonts w:ascii="Arial" w:cs="Arial" w:eastAsia="Arial" w:hAnsi="Arial"/>
                <w:sz w:val="16"/>
                <w:szCs w:val="16"/>
                <w:color w:val="auto"/>
              </w:rPr>
              <w:t>Total liabilities and stockholders’ equity</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54,875</w:t>
            </w:r>
          </w:p>
        </w:tc>
        <w:tc>
          <w:tcPr>
            <w:tcW w:w="38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84,813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License and collaboration revenue</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35,118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8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18,348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42,377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(5,306)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(42,087)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63"/>
        </w:trPr>
        <w:tc>
          <w:tcPr>
            <w:tcW w:w="5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(5,645)</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(42,482)</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8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gridSpan w:val="2"/>
            <w:vMerge w:val="continue"/>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25,338,462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20,493,377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25,299,910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10,502,459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9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(18,336)</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(5,645)</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(42,482)</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(16,196)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(loss) on available-for-sale investments</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8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(42,477)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Nine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74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Net loss</w:t>
            </w:r>
          </w:p>
        </w:tc>
        <w:tc>
          <w:tcPr>
            <w:tcW w:w="208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(42,482)</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(16,196)</w:t>
            </w: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FF0FC"/>
          </w:tcPr>
          <w:p>
            <w:pPr>
              <w:spacing w:after="0"/>
              <w:rPr>
                <w:sz w:val="19"/>
                <w:szCs w:val="19"/>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Non-cash interest expense</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debt discount</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19"/>
                <w:szCs w:val="19"/>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accretion on available-for-sale investments, net</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(536)</w:t>
            </w: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9"/>
                <w:szCs w:val="19"/>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(567)</w:t>
            </w: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rent</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(35,990)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(16,253)</w:t>
            </w:r>
          </w:p>
        </w:tc>
        <w:tc>
          <w:tcPr>
            <w:tcW w:w="12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Purchase of available-for-sale investments</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(40,614)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(20,065)</w:t>
            </w: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Maturities of available-for-sale investments</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 investing activities</w:t>
            </w:r>
          </w:p>
        </w:tc>
        <w:tc>
          <w:tcPr>
            <w:tcW w:w="1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(20,068)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follow-on public offering, net of issuance costs</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shares issued under employee stock purchase plan</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Proceeds from initial public offering, net of issuance costs</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51,377</w:t>
            </w:r>
          </w:p>
        </w:tc>
        <w:tc>
          <w:tcPr>
            <w:tcW w:w="12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issuance of long-term debt</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7,867</w:t>
            </w:r>
          </w:p>
        </w:tc>
        <w:tc>
          <w:tcPr>
            <w:tcW w:w="12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Principal payments made on long-term debt</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(6,330)</w:t>
            </w: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52,914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(18,535)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16,593</w:t>
            </w:r>
          </w:p>
        </w:tc>
        <w:tc>
          <w:tcPr>
            <w:tcW w:w="12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1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34,824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20,283</w:t>
            </w:r>
          </w:p>
        </w:tc>
        <w:tc>
          <w:tcPr>
            <w:tcW w:w="120" w:type="dxa"/>
            <w:vAlign w:val="bottom"/>
            <w:shd w:val="clear" w:color="auto" w:fill="CFF0FC"/>
          </w:tcPr>
          <w:p>
            <w:pPr>
              <w:spacing w:after="0"/>
              <w:rPr>
                <w:sz w:val="19"/>
                <w:szCs w:val="19"/>
                <w:color w:val="auto"/>
              </w:rPr>
            </w:pPr>
          </w:p>
        </w:tc>
      </w:tr>
      <w:tr>
        <w:trPr>
          <w:trHeight w:val="263"/>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end of period</w:t>
            </w:r>
          </w:p>
        </w:tc>
        <w:tc>
          <w:tcPr>
            <w:tcW w:w="112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16,289</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36,876</w:t>
            </w:r>
          </w:p>
        </w:tc>
        <w:tc>
          <w:tcPr>
            <w:tcW w:w="120" w:type="dxa"/>
            <w:vAlign w:val="bottom"/>
            <w:tcBorders>
              <w:bottom w:val="single" w:sz="8" w:color="CFF0FC"/>
            </w:tcBorders>
          </w:tcPr>
          <w:p>
            <w:pPr>
              <w:spacing w:after="0"/>
              <w:rPr>
                <w:sz w:val="22"/>
                <w:szCs w:val="22"/>
                <w:color w:val="auto"/>
              </w:rPr>
            </w:pPr>
          </w:p>
        </w:tc>
      </w:tr>
      <w:tr>
        <w:trPr>
          <w:trHeight w:val="210"/>
        </w:trPr>
        <w:tc>
          <w:tcPr>
            <w:tcW w:w="6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Tenant improvements paid by landlord</w:t>
            </w:r>
          </w:p>
        </w:tc>
        <w:tc>
          <w:tcPr>
            <w:tcW w:w="208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637</w:t>
            </w:r>
          </w:p>
        </w:tc>
        <w:tc>
          <w:tcPr>
            <w:tcW w:w="160" w:type="dxa"/>
            <w:vAlign w:val="bottom"/>
          </w:tcPr>
          <w:p>
            <w:pPr>
              <w:spacing w:after="0"/>
              <w:rPr>
                <w:sz w:val="19"/>
                <w:szCs w:val="19"/>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convertible preferred stock to common stock</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48,198</w:t>
            </w:r>
          </w:p>
        </w:tc>
        <w:tc>
          <w:tcPr>
            <w:tcW w:w="12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Reclassification of deferred initial public offering costs</w:t>
            </w: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Unpaid initial public offering costs in accounts payable and accrued expenses</w:t>
            </w:r>
          </w:p>
        </w:tc>
        <w:tc>
          <w:tcPr>
            <w:tcW w:w="1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CLEARSIDE BIOMEDICAL,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35"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Clearside Biomedical, Inc. (the “Company”) is a late-stage clinical biopharmaceutical company developing first-in-class drug therapies to treat blinding diseases of the eye. The Company’s current product candidates focus on treatments for diseases affecting the retina and choroid, especially diseases associated with macular edema, and are injected into the suprachoroidal space (“SCS”) using its proprietary SCS Microinjector. Incorporated in the State of Delaware on May 26, 2011, the Company has its corporate headquarters in Alpharetta, Georgia.</w:t>
      </w:r>
    </w:p>
    <w:p>
      <w:pPr>
        <w:spacing w:after="0" w:line="171"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The Company’s activities since inception have primarily consisted of developing product and technology rights, raising capital and performing research and development activities. The Company has no current source of revenue to sustain present activities, and does not expect to generate meaningful revenue until and unless the Company receives regulatory approval of and successfully commercializes its product candidates.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The Company has funded its operations primarily through the proceeds of its public offerings of common stock, sale of convertible preferred stock and the issuance of long-term debt. The Company will continue to need to obtain additional financing to fund future operations, including completing the development and commercialization of its primary product candidates. The Company will need to expend substantial resources for research and development, including costs associated with the clinical testing of its product candidates. The Company will also need to obtain additional financing to conduct additional trials for the regulatory approval of its product candidates if requested by regulatory bodies, and completing the development of any additional product candidates that might be acquired. If such products were to receive regulatory approval, the Company would need to prepare for the potential commercialization of its product candidates and fund the commercial launch of the products, if the Company decides to commercialize the products on its own. Moreover, the Company’s fixed expenses such as rent and other contractual commitments are substantial and are expected to increase in the future.</w:t>
      </w:r>
    </w:p>
    <w:p>
      <w:pPr>
        <w:spacing w:after="0" w:line="166"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The Company had cash, cash equivalents and short-term investments of $52.6 million as of September 30, 2017. In the absence of product or other revenues, the amount, timing, nature or source of which cannot be predicted, the Company’s losses will continue as it conducts its research and development activities. Until the Company can generate a sufficient amount of revenue, the Company may finance future cash needs through public or private equity offerings, license agreements, debt financings, collaborations, strategic alliances and marketing or distribution arrangements. The Company has incurred losses and negative cash flows since inception and expects operating losses and negative cash flows to continue into the foreseeable future. Absent raising additional funds, the Company will delay, reduce or eliminate certain research and development programs or reduce administrative expense while still advancing clinical trials for key product candidates in order that the cash on hand as of the filing date, November 9, 2017, will be sufficient to fund its operations to the end of 2018.</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Company’s financial statements have been prepared in conformity with accounting principles generally accepted in the United States of America (“U.S. GAAP”).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accompanying balance sheet as of September 30, 2017, statements of operations and comprehensive loss for the three and nine months ended September 30, 2017 and 2016 and statements of cash flows for the nine months ended September 30, 2017 and 2016 are unaudited. The unaudited interim financial statements have been prepared on the same basis as the annual financial statements and, in the opinion of management, reflect all adjustments, which include normal recurring adjustments, necessary for the fair presentation of the Company’s financial position as of September 30, 2017, its results of operations for the three and nine months ended September 30, 2017 and 2016 and its cash flows for the nine months ended September 30, 2017 and 2016. The financial data and other information disclosed in these notes related to the three and nine months ended September 30, 2017 and 2016 are unaudited. The results for the three and nine months ended September 30, 2017 are not indicative of results to be expected for the year ending December 31, 2017, any other interim periods or any future year or period. These unaudited financial statements should be read in conjunction with the audited financial statements and related footnotes, which are included in the Company’s Annual Report on Form 10-K for the year ended December 31,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80" w:firstLine="518"/>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the accounting for useful lives to calculate depreciation and amortization, clinical trial estimates and related accrued liabilities, share-based compensation expense and income tax valuation allowance. Actual results could differ from these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are charged to expense as incurred and include, but are not limited to:</w:t>
      </w:r>
    </w:p>
    <w:p>
      <w:pPr>
        <w:spacing w:after="0" w:line="117"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travel and share-based compensation expense for research and development personnel;</w:t>
      </w:r>
    </w:p>
    <w:p>
      <w:pPr>
        <w:spacing w:after="0" w:line="140" w:lineRule="exact"/>
        <w:rPr>
          <w:rFonts w:ascii="Arial" w:cs="Arial" w:eastAsia="Arial" w:hAnsi="Arial"/>
          <w:sz w:val="16"/>
          <w:szCs w:val="16"/>
          <w:color w:val="auto"/>
        </w:rPr>
      </w:pPr>
    </w:p>
    <w:p>
      <w:pPr>
        <w:ind w:left="1040" w:right="2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contract manufacturing organizations and consultants that conduct clinical trials and nonclinical studies;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nonclinical and clinical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for the Company’s research and development facility;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Costs for certain development activities, such as clinical trials, are recognized based on an evaluation of the progress to completion of specific tasks using data such as patient enrollment, clinical site activations, or information provided to the Company by its vendors on their actual costs incurred. Payments for these activities are based on the terms of the individual arrangements, which may differ from the patterns of costs incurred, and are reflected in the financial statements as prepaid or accrued expense. No material adjustments to these estimates have been recorded in these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Company recognizes compensation costs related to stock options and restricted stock granted to employees, directors and consultants ratably over the requisite service period, which in most cases is the vesting period of the award for employees, based on the estimated fair value of the awards on the date of grant. Compensation expense for options granted to non-employees is determined as the fair value of consideration received or the fair value of the equity instruments issued, whichever is more reliably measured. The fair value of the awards granted to non-employees is re-measured each period until the related service is complete. All share-based compensation costs are recorded in general and administrative or research and development costs in the statements of operations and comprehensive loss based upon the underlying employees’ roles within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consist of short-term, highly liquid investments with an original term of three months or less at the date of purchase.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Short-term investments are investments with original maturities of between 90 and 365 days when purchased and are comprised of certificates of deposit, commercial paper, corporate and government bonds and treasury bills. The Company classifies its short-term investments as available-for-sale securities. Short-term investments are recorded at fair value and unrealized gains and losses are recorded within accumulated other comprehensive income (loss) until realized. In addition, the Company evaluates the short-investments with unrealized losses to determine whether such losses are other-than-temporary.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Arising From Cash Deposits in Excess of Insured Limits</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11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 xml:space="preserve">In March 2016, the Financial Accounting Standards Board (“FASB”) issued Accounting Standards Update (“ASU”) 2016-09,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(Topic 718). </w:t>
      </w:r>
      <w:r>
        <w:rPr>
          <w:rFonts w:ascii="Arial" w:cs="Arial" w:eastAsia="Arial" w:hAnsi="Arial"/>
          <w:sz w:val="16"/>
          <w:szCs w:val="16"/>
          <w:color w:val="auto"/>
        </w:rPr>
        <w:t>The new guidance simplifies several aspects of the accounting for share-based payment transactions, including the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classification of awards as either equity or liabilities, and classification on the statement of cash flows. For public companies, the amendments in this standard are effective for annual periods beginning after December 15, 2016, and interim periods within those annual periods. The Company adopted the standard effective January 1, 2017 and the adoption did not have a material impact on its financial statements and related disclosures.</w:t>
      </w:r>
    </w:p>
    <w:p>
      <w:pPr>
        <w:spacing w:after="0" w:line="158" w:lineRule="exact"/>
        <w:rPr>
          <w:sz w:val="20"/>
          <w:szCs w:val="20"/>
          <w:color w:val="auto"/>
        </w:rPr>
      </w:pPr>
    </w:p>
    <w:p>
      <w:pPr>
        <w:ind w:right="180" w:firstLine="518"/>
        <w:spacing w:after="0" w:line="286"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xml:space="preserve"> The guidance simplifies the presentation of deferred income taxes. The guidance eliminates the current requirement to present deferred tax assets and liabilities as current and noncurrent in a classified balance sheet and now requires entities to classify all deferred tax assets and liabilities as noncurrent. The amendments in this update are effective for financial statements issued for annual periods beginning after December 15, 2016 and interim periods within those annual periods.</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Company adopted this standard prospectively, effective January 1, 2017, and the adoption did not have a material impact on its financial statements and related disclosures.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In May 2017, the FASB issued ASU 2017-9</w:t>
      </w:r>
      <w:r>
        <w:rPr>
          <w:rFonts w:ascii="Arial" w:cs="Arial" w:eastAsia="Arial" w:hAnsi="Arial"/>
          <w:sz w:val="16"/>
          <w:szCs w:val="16"/>
          <w:i w:val="1"/>
          <w:iCs w:val="1"/>
          <w:color w:val="auto"/>
        </w:rPr>
        <w:t>, Compensation-Stock Compensation: Scope of Stock Compensation Modification Accounting</w:t>
      </w:r>
      <w:r>
        <w:rPr>
          <w:rFonts w:ascii="Arial" w:cs="Arial" w:eastAsia="Arial" w:hAnsi="Arial"/>
          <w:sz w:val="16"/>
          <w:szCs w:val="16"/>
          <w:color w:val="auto"/>
        </w:rPr>
        <w:t>. The ASU was issued to provide clarity and reduce both (1) diversity in practice and (2) cost and complexity when applying the guidance in Topic 718, Compensation— Stock Compensation, to a change to the terms or conditions of a share-based payment award. The amendments in this update provide guidance about which changes to the terms or conditions of a share-based payment award require an entity to apply modification accounting in Topic 718. The update is effective for annual periods beginning after December 15, 2017, and interim periods thereafter. Early adoption is permitted, including adoption in any interim period. The Company is currently evaluating the impact of adopting ASU 2017-9 may have on its financial statements and related disclosures.</w:t>
      </w:r>
    </w:p>
    <w:p>
      <w:pPr>
        <w:spacing w:after="0" w:line="57"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Restricted Cash</w:t>
      </w:r>
      <w:r>
        <w:rPr>
          <w:rFonts w:ascii="Arial" w:cs="Arial" w:eastAsia="Arial" w:hAnsi="Arial"/>
          <w:sz w:val="17"/>
          <w:szCs w:val="17"/>
          <w:color w:val="auto"/>
        </w:rPr>
        <w:t>, which addresses diversity in practice in the classification and presentation of a change in restricted cash on the statement of cash flows. The amendments in this update require that a statement of cash flows explain the change during the period in the total of cash, cash equivalents, and amounts generally described as restricted cash or restricted cash equivalents. The update is effective for annual periods beginning after December 15, 2017, and interim periods thereafter. Early adoption is permitted. The Company is currently evaluating the impact the adoption of ASU 2016-18 will have on its statement of cash flows.</w:t>
      </w:r>
    </w:p>
    <w:p>
      <w:pPr>
        <w:spacing w:after="0" w:line="173"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Classification of Certain Cash Receipts and Cash Payments</w:t>
      </w:r>
      <w:r>
        <w:rPr>
          <w:rFonts w:ascii="Arial" w:cs="Arial" w:eastAsia="Arial" w:hAnsi="Arial"/>
          <w:sz w:val="16"/>
          <w:szCs w:val="16"/>
          <w:color w:val="auto"/>
        </w:rPr>
        <w:t>. The update addresses eight specific cash flow matters with the objective of reducing diversity in practice in how certain cash receipts and payments are classified in the statement of cash flows. The update is effective for annual periods beginning after December 15, 2017, and interim periods within the period. Early adoption is permitted. The Company is currently evaluating the impact the adoption of ASU 2016-15 will have on its financial statements and related disclosures.</w:t>
      </w:r>
    </w:p>
    <w:p>
      <w:pPr>
        <w:spacing w:after="0" w:line="15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(ASC 842),</w:t>
      </w:r>
      <w:r>
        <w:rPr>
          <w:rFonts w:ascii="Arial" w:cs="Arial" w:eastAsia="Arial" w:hAnsi="Arial"/>
          <w:sz w:val="18"/>
          <w:szCs w:val="18"/>
          <w:color w:val="auto"/>
        </w:rPr>
        <w:t xml:space="preserve"> which requires lessees to recognize most leases on the balance sheet. This is expected to increase both reported assets and liabilities. The new lease standard does not substantially change lessor accounting. For public companies, the standard will be effective for the first interim reporting period within annual periods beginning after December 15, 2018, although early adoption is permitted. Lessees and lessors will be required to apply the new standard at the beginning of the earliest period presented in the financial statements in which they first apply the new guidance, using a modified retrospective transition method. The requirements of this standard include a significant increase in required disclosures.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The Company is currently assessing the impact that adopting this new accounting standard will have on its financial statements and related disclosures.</w:t>
      </w:r>
    </w:p>
    <w:p>
      <w:pPr>
        <w:spacing w:after="0" w:line="23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Under ASU 2014-09, companies will be required to recognize revenue to depict the transfer of goods or services to customers in amounts that reflect the consideration (that is, payment) to which the company expects to be entitled in exchange for those goods or services. The new standard also will result in enhanced disclosures about revenue, provide guidance for transactions that were not previously addressed comprehensively (for example, service revenue and contract modifications) and modify guidance for multiple-element arrangements. In August 2015, the FASB issued ASU 2015-14, which deferred by one year the effective date of ASU 2014-09. The one year deferral of the effective date of this standard changes the effective date for the Company to January 1, 2018. Early adoption is permitted, but not before the original effective date. The standard allows the Company to use either a full retrospective or a modified retrospective method to adopt ASU 2014-09. The Company expects to adopt ASU 2014-09 using the modified retrospective method and is currently evaluating the effect this standard may have on its financial statements and related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(dollar amounts in thousands):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Useful Lives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89"/>
              </w:rPr>
              <w:t>September 30,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0"/>
              </w:rPr>
              <w:t>December 31,</w:t>
            </w:r>
          </w:p>
        </w:tc>
      </w:tr>
      <w:tr>
        <w:trPr>
          <w:trHeight w:val="213"/>
        </w:trPr>
        <w:tc>
          <w:tcPr>
            <w:tcW w:w="20" w:type="dxa"/>
            <w:vAlign w:val="bottom"/>
          </w:tcPr>
          <w:p>
            <w:pPr>
              <w:spacing w:after="0"/>
              <w:rPr>
                <w:sz w:val="18"/>
                <w:szCs w:val="18"/>
                <w:color w:val="auto"/>
              </w:rPr>
            </w:pPr>
          </w:p>
        </w:tc>
        <w:tc>
          <w:tcPr>
            <w:tcW w:w="51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2016</w:t>
            </w:r>
          </w:p>
        </w:tc>
        <w:tc>
          <w:tcPr>
            <w:tcW w:w="80" w:type="dxa"/>
            <w:vAlign w:val="bottom"/>
            <w:tcBorders>
              <w:bottom w:val="single" w:sz="8" w:color="CFF0FC"/>
            </w:tcBorders>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Lesser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useful life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remaining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lease term</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667</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1,132</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(168)</w:t>
            </w: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In connection with the Company’s relocation to its new corporate headquarters (see Note 9), the Company wrote off $45,000 of fully amortized leasehold improvements. In addition, the Company wrote off $58,000 of fully depreciated furniture and fixtures that were not re-located to the new corporate headquarters.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440" w:type="dxa"/>
            <w:vAlign w:val="bottom"/>
          </w:tcPr>
          <w:p>
            <w:pPr>
              <w:spacing w:after="0"/>
              <w:rPr>
                <w:sz w:val="19"/>
                <w:szCs w:val="19"/>
                <w:color w:val="auto"/>
              </w:rPr>
            </w:pPr>
          </w:p>
        </w:tc>
        <w:tc>
          <w:tcPr>
            <w:tcW w:w="3380" w:type="dxa"/>
            <w:vAlign w:val="bottom"/>
            <w:tcBorders>
              <w:bottom w:val="single" w:sz="8" w:color="CFF0FC"/>
            </w:tcBorders>
          </w:tcPr>
          <w:p>
            <w:pPr>
              <w:spacing w:after="0"/>
              <w:rPr>
                <w:sz w:val="19"/>
                <w:szCs w:val="19"/>
                <w:color w:val="auto"/>
              </w:rPr>
            </w:pPr>
          </w:p>
        </w:tc>
        <w:tc>
          <w:tcPr>
            <w:tcW w:w="2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2016</w:t>
            </w:r>
          </w:p>
        </w:tc>
        <w:tc>
          <w:tcPr>
            <w:tcW w:w="80" w:type="dxa"/>
            <w:vAlign w:val="bottom"/>
            <w:tcBorders>
              <w:bottom w:val="single" w:sz="8" w:color="CFF0FC"/>
            </w:tcBorders>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44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2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2,766</w:t>
            </w: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w:t>
            </w:r>
          </w:p>
        </w:tc>
        <w:tc>
          <w:tcPr>
            <w:tcW w:w="80" w:type="dxa"/>
            <w:vAlign w:val="bottom"/>
            <w:shd w:val="clear" w:color="auto" w:fill="CFF0FC"/>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Accrued bonuses</w:t>
            </w:r>
          </w:p>
        </w:tc>
        <w:tc>
          <w:tcPr>
            <w:tcW w:w="2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870</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2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FF0FC"/>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Accrued vacation</w:t>
            </w:r>
          </w:p>
        </w:tc>
        <w:tc>
          <w:tcPr>
            <w:tcW w:w="2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payable</w:t>
            </w:r>
          </w:p>
        </w:tc>
        <w:tc>
          <w:tcPr>
            <w:tcW w:w="2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expense</w:t>
            </w:r>
          </w:p>
        </w:tc>
        <w:tc>
          <w:tcPr>
            <w:tcW w:w="2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4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80" w:type="dxa"/>
            <w:vAlign w:val="bottom"/>
            <w:tcBorders>
              <w:bottom w:val="single" w:sz="8" w:color="CFF0FC"/>
            </w:tcBorders>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380" w:type="dxa"/>
            <w:vAlign w:val="bottom"/>
            <w:tcBorders>
              <w:bottom w:val="single" w:sz="8" w:color="CFF0FC"/>
            </w:tcBorders>
            <w:shd w:val="clear" w:color="auto" w:fill="CFF0FC"/>
          </w:tcPr>
          <w:p>
            <w:pPr>
              <w:spacing w:after="0"/>
              <w:rPr>
                <w:sz w:val="19"/>
                <w:szCs w:val="19"/>
                <w:color w:val="auto"/>
              </w:rPr>
            </w:pPr>
          </w:p>
        </w:tc>
        <w:tc>
          <w:tcPr>
            <w:tcW w:w="2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4,004</w:t>
            </w:r>
          </w:p>
        </w:tc>
        <w:tc>
          <w:tcPr>
            <w:tcW w:w="4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w:t>
            </w:r>
          </w:p>
        </w:tc>
        <w:tc>
          <w:tcPr>
            <w:tcW w:w="80" w:type="dxa"/>
            <w:vAlign w:val="bottom"/>
            <w:tcBorders>
              <w:bottom w:val="single" w:sz="8" w:color="CFF0FC"/>
            </w:tcBorders>
            <w:shd w:val="clear" w:color="auto" w:fill="CFF0FC"/>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00" w:type="dxa"/>
            <w:vAlign w:val="bottom"/>
            <w:vMerge w:val="restart"/>
          </w:tcPr>
          <w:p>
            <w:pPr>
              <w:jc w:val="right"/>
              <w:ind w:right="1270"/>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4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4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5.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Agreements</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September 2016, the Company entered into an amended and restated loan and security agreement (the “loan agreement”) with Silicon Valley Bank (“SVB”), MidCap Funding XII Trust and MidCap Financial Trust (together, “MidCap” and collectively with SVB, the “Lenders”), which amended and restated in its entirety the Company’s prior loan and security agreement with SVB dated as of April 14, 2015 (the “original loan agreement”), under which the Company had borrowed $6.0 million in April and May 2015. The loan agreement provides for new term loans of up to $15.0 million, with a floating interest rate equal to 7% plus the greater of (i) the 30-day U.S. LIBOR, reported in the Wall Street Journal on the last business day of the month that immediately precedes the month in which the interest will accrue, or (ii) 0.50%. The interest rate on the original loan agreement was equal to the lender’s prime rate less 0.50 percent.</w:t>
      </w:r>
    </w:p>
    <w:p>
      <w:pPr>
        <w:spacing w:after="0" w:line="189"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Under the terms of the loan agreement, an initial tranche of $8.0 million was advanced on September 28, 2016. The remaining $7.0 million will become available beginning on the date on which the Lenders have received evidence, in form and substance reasonably satisfactory to them, that the Company has produced clinical trial data sufficient to file a New Drug Application for its product candidate CLS-TA for the treatment of macular edema associated with non-infectious uveitis. Once the draw period for the remaining $7.0 million has commenced, the Company may draw funds at its discretion until the earlier of (i) December 31, 2017 and (ii) the occurrence of an event of default under the loan agreement. The Company is required to pay accrued interest only through December 31, 2017 on the outstanding amount, followed by 30 equal payments of principal and accrued interest. The Company has the option to prepay the outstanding balance of the term loans in full, subject to a prepayment fee of 2% of the original principal amount of the aggregate term loans for any prepayments through May 31, 2020. A final payment of $0.5 million, or 6.50% of the aggregate borrowed amount, is due at maturity of the loan on June 1, 2020, or upon the prepayment of the facility or the acceleration of amounts due under the facility as a result of an event of default, and is being accreted in long-term debt over the life of the loan. Of the initial $8.0 million advanced on September 28, 2016, $5.3 million was used to repay all amounts outstanding under the original loan agreement. Closing costs incurred in the refinancing portion of the loan were recorded as expense while the financing costs for the new portion of the loan are recorded in long-term debt and being accreted over the life of the loan. Upon repayment of the original loan agreement, all remaining closing costs associated with the original loan agreement are being accreted to long-term debt over the life of the loan agreement.</w:t>
      </w:r>
    </w:p>
    <w:p>
      <w:pPr>
        <w:spacing w:after="0" w:line="175"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term loans under the loan agreement are secured by substantially all of the Company’s assets, except that the collateral does not include any of the Company’s intellectual property. However, pursuant to the terms of a negative pledge arrangement, the Company has agreed not to encumber any of its intellectual property.</w:t>
      </w:r>
    </w:p>
    <w:p>
      <w:pPr>
        <w:spacing w:after="0" w:line="181" w:lineRule="exact"/>
        <w:rPr>
          <w:sz w:val="20"/>
          <w:szCs w:val="20"/>
          <w:color w:val="auto"/>
        </w:rPr>
      </w:pPr>
    </w:p>
    <w:p>
      <w:pPr>
        <w:ind w:right="220" w:firstLine="518"/>
        <w:spacing w:after="0" w:line="297" w:lineRule="auto"/>
        <w:rPr>
          <w:sz w:val="20"/>
          <w:szCs w:val="20"/>
          <w:color w:val="auto"/>
        </w:rPr>
      </w:pPr>
      <w:r>
        <w:rPr>
          <w:rFonts w:ascii="Arial" w:cs="Arial" w:eastAsia="Arial" w:hAnsi="Arial"/>
          <w:sz w:val="16"/>
          <w:szCs w:val="16"/>
          <w:color w:val="auto"/>
        </w:rPr>
        <w:t>Interest expense on the borrowings under the loan agreements was $168,000 and $43,000 for the three months ended September 30, 2017 and 2016, respectively, and $486,000 and $133,000 for the nine months ended September 30, 2017 and 2016, respectively. Accretion of the scheduled final payment was $53,000 and $156,000 for the three months ended September 30, 2017 and 2016, respectively, and $159,000 and $230,000 for the nine months ended September 30, 2017 and 2016, respectively. Accretion of the deferred debt issuance costs was $53,000 and $190,000 for the three months ended September 30, 2017 and 2016, respectively, and $158,000 and $70,000 for the nine months ended September 30, 2017 and 2016, respectively.</w:t>
      </w:r>
    </w:p>
    <w:p>
      <w:pPr>
        <w:spacing w:after="0" w:line="158"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As of September 30, 2017, the scheduled payments for the loan agreement, including the scheduled final payment in 2020, were as follows (in thousands):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31"/>
              <w:spacing w:after="0"/>
              <w:rPr>
                <w:sz w:val="20"/>
                <w:szCs w:val="20"/>
                <w:color w:val="auto"/>
              </w:rPr>
            </w:pPr>
            <w:r>
              <w:rPr>
                <w:rFonts w:ascii="Arial" w:cs="Arial" w:eastAsia="Arial" w:hAnsi="Arial"/>
                <w:sz w:val="16"/>
                <w:szCs w:val="16"/>
                <w:b w:val="1"/>
                <w:bCs w:val="1"/>
                <w:color w:val="auto"/>
                <w:w w:val="92"/>
              </w:rPr>
              <w:t>Interest and</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528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31"/>
              <w:spacing w:after="0"/>
              <w:rPr>
                <w:sz w:val="20"/>
                <w:szCs w:val="20"/>
                <w:color w:val="auto"/>
              </w:rPr>
            </w:pPr>
            <w:r>
              <w:rPr>
                <w:rFonts w:ascii="Arial" w:cs="Arial" w:eastAsia="Arial" w:hAnsi="Arial"/>
                <w:sz w:val="16"/>
                <w:szCs w:val="16"/>
                <w:b w:val="1"/>
                <w:bCs w:val="1"/>
                <w:color w:val="auto"/>
              </w:rPr>
              <w:t>Principal</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Final Payment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r>
      <w:tr>
        <w:trPr>
          <w:trHeight w:val="226"/>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w:t>
      </w:r>
    </w:p>
    <w:p>
      <w:pPr>
        <w:spacing w:after="0" w:line="121"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The Company’s amended and restated certificate of incorporation authorizes the Company to issue 100,000,000 shares of $0.001 par value common stock. As of September 30, 2017 and December 31, 2016, there were 25,342,445 and 24,573,033 shares of common stock outstanding, respectively.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7. Stock Purchase Warrants</w:t>
      </w:r>
    </w:p>
    <w:p>
      <w:pPr>
        <w:spacing w:after="0" w:line="121"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In April 2015, in connection with the original loan agreement (see Note 5), the Company issued a warrant to SVB to purchase up to 57,143 shares of Series B preferred stock at a price per share of $3.50. The term of the warrant extends until 10 years from the grant date and the warrant is exercisable at any time during that 10-year period. The warrant was automatically converted into a warrant to purchase 25,974 shares of common stock at an exercise price of $7.70 in June 2016 upon the closing of the Company’s initial public offering. This warrant had a fair value of $0.2 million and was net exercised on October 12, 2016, resulting in the issuance of 17,883 shares of common stock.</w:t>
      </w:r>
    </w:p>
    <w:p>
      <w:pPr>
        <w:spacing w:after="0" w:line="17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September 2016, in connection with the loan agreement (see Note 5), the Company issued warrants to the Lenders to purchase up to 29,796 shares of common stock at a price per share of $10.74. The warrants expire in September 2026, or earlier upon the occurrence of specified mergers or acquisitions of the Company, and are immediately exercisable</w:t>
      </w:r>
      <w:r>
        <w:rPr>
          <w:rFonts w:ascii="Arial" w:cs="Arial" w:eastAsia="Arial" w:hAnsi="Arial"/>
          <w:sz w:val="18"/>
          <w:szCs w:val="18"/>
          <w:color w:val="1F497D"/>
        </w:rPr>
        <w:t>.</w:t>
      </w:r>
      <w:r>
        <w:rPr>
          <w:rFonts w:ascii="Arial" w:cs="Arial" w:eastAsia="Arial" w:hAnsi="Arial"/>
          <w:sz w:val="18"/>
          <w:szCs w:val="18"/>
          <w:color w:val="auto"/>
        </w:rPr>
        <w:t xml:space="preserve"> The warrants were recorded in equity and have a weighted average remaining life of 9.00 years as of September 30,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Share-based compensation is accounted for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 Options granted to non-employees are re-measured at each financial reporting period until required services are performed.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stock options during the nine months ended September 30,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Exercise Price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3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at January 1, 2017</w:t>
            </w:r>
          </w:p>
        </w:tc>
        <w:tc>
          <w:tcPr>
            <w:tcW w:w="5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2,243,575</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ind w:left="120"/>
              <w:spacing w:after="0"/>
              <w:rPr>
                <w:sz w:val="20"/>
                <w:szCs w:val="20"/>
                <w:color w:val="auto"/>
              </w:rPr>
            </w:pPr>
            <w:r>
              <w:rPr>
                <w:rFonts w:ascii="Arial" w:cs="Arial" w:eastAsia="Arial" w:hAnsi="Arial"/>
                <w:sz w:val="18"/>
                <w:szCs w:val="18"/>
                <w:color w:val="auto"/>
              </w:rPr>
              <w:t>Granted</w:t>
            </w:r>
          </w:p>
        </w:tc>
        <w:tc>
          <w:tcPr>
            <w:tcW w:w="5060" w:type="dxa"/>
            <w:vAlign w:val="bottom"/>
            <w:gridSpan w:val="2"/>
          </w:tcPr>
          <w:p>
            <w:pPr>
              <w:jc w:val="right"/>
              <w:spacing w:after="0"/>
              <w:rPr>
                <w:sz w:val="20"/>
                <w:szCs w:val="20"/>
                <w:color w:val="auto"/>
              </w:rPr>
            </w:pPr>
            <w:r>
              <w:rPr>
                <w:rFonts w:ascii="Arial" w:cs="Arial" w:eastAsia="Arial" w:hAnsi="Arial"/>
                <w:sz w:val="18"/>
                <w:szCs w:val="18"/>
                <w:color w:val="auto"/>
              </w:rPr>
              <w:t>259,250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52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(164,285)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5220" w:type="dxa"/>
            <w:vAlign w:val="bottom"/>
            <w:gridSpan w:val="3"/>
          </w:tcPr>
          <w:p>
            <w:pPr>
              <w:jc w:val="right"/>
              <w:ind w:right="100"/>
              <w:spacing w:after="0"/>
              <w:rPr>
                <w:sz w:val="20"/>
                <w:szCs w:val="20"/>
                <w:color w:val="auto"/>
              </w:rPr>
            </w:pPr>
            <w:r>
              <w:rPr>
                <w:rFonts w:ascii="Arial" w:cs="Arial" w:eastAsia="Arial" w:hAnsi="Arial"/>
                <w:sz w:val="18"/>
                <w:szCs w:val="18"/>
                <w:color w:val="auto"/>
              </w:rPr>
              <w:t>(64,250)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September 30, 2017</w:t>
            </w:r>
          </w:p>
        </w:tc>
        <w:tc>
          <w:tcPr>
            <w:tcW w:w="348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2,274,290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at December 31, 2016</w:t>
            </w:r>
          </w:p>
        </w:tc>
        <w:tc>
          <w:tcPr>
            <w:tcW w:w="5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500,797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FF0FC"/>
            </w:tcBorders>
          </w:tcPr>
          <w:p>
            <w:pPr>
              <w:spacing w:after="0" w:line="20" w:lineRule="exact"/>
              <w:rPr>
                <w:sz w:val="1"/>
                <w:szCs w:val="1"/>
                <w:color w:val="auto"/>
              </w:rPr>
            </w:pPr>
          </w:p>
        </w:tc>
        <w:tc>
          <w:tcPr>
            <w:tcW w:w="348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at September 30, 2017</w:t>
            </w:r>
          </w:p>
        </w:tc>
        <w:tc>
          <w:tcPr>
            <w:tcW w:w="5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846,199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FF0FC"/>
            </w:tcBorders>
          </w:tcPr>
          <w:p>
            <w:pPr>
              <w:spacing w:after="0" w:line="20" w:lineRule="exact"/>
              <w:rPr>
                <w:sz w:val="1"/>
                <w:szCs w:val="1"/>
                <w:color w:val="auto"/>
              </w:rPr>
            </w:pPr>
          </w:p>
        </w:tc>
        <w:tc>
          <w:tcPr>
            <w:tcW w:w="3480" w:type="dxa"/>
            <w:vAlign w:val="bottom"/>
            <w:tcBorders>
              <w:top w:val="single" w:sz="8" w:color="CFF0FC"/>
              <w:bottom w:val="single" w:sz="8" w:color="CFF0FC"/>
            </w:tcBorders>
            <w:vMerge w:val="restart"/>
          </w:tcPr>
          <w:p>
            <w:pPr>
              <w:jc w:val="right"/>
              <w:ind w:right="1970"/>
              <w:spacing w:after="0"/>
              <w:rPr>
                <w:sz w:val="20"/>
                <w:szCs w:val="20"/>
                <w:color w:val="auto"/>
              </w:rPr>
            </w:pPr>
            <w:r>
              <w:rPr>
                <w:rFonts w:ascii="Arial" w:cs="Arial" w:eastAsia="Arial" w:hAnsi="Arial"/>
                <w:sz w:val="18"/>
                <w:szCs w:val="18"/>
                <w:color w:val="auto"/>
              </w:rPr>
              <w:t>10</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78" w:right="219" w:bottom="1440" w:gutter="0" w:footer="0" w:header="0"/>
        </w:sectPr>
      </w:pPr>
    </w:p>
    <w:bookmarkStart w:id="11" w:name="page12"/>
    <w:bookmarkEnd w:id="11"/>
    <w:p>
      <w:pPr>
        <w:ind w:right="60" w:firstLine="518"/>
        <w:spacing w:after="0" w:line="277" w:lineRule="auto"/>
        <w:rPr>
          <w:sz w:val="20"/>
          <w:szCs w:val="20"/>
          <w:color w:val="auto"/>
        </w:rPr>
      </w:pPr>
      <w:r>
        <w:rPr>
          <w:rFonts w:ascii="Arial" w:cs="Arial" w:eastAsia="Arial" w:hAnsi="Arial"/>
          <w:sz w:val="18"/>
          <w:szCs w:val="18"/>
          <w:color w:val="auto"/>
        </w:rPr>
        <w:t>As of September 30, 2017, the Company had $8.9 million of unrecognized compensation expense related to unvested stock options, which is expected to be recognized over a weighted average period of 2.9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31"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In January 2016, the Company’s board of directors adopted and approved, and in January 2016 the Company’s stockholders approved, the Clearside Biomedical, Inc. 2016 Employee Stock Purchase Plan (the “2016 ESPP”) which became effective on June 1, 2016. The first offering period for the 2016 ESPP commenced January 1, 2017. The 2016 ESPP is considered a compensatory plan and the fair value of the discount and the look-back period are estimated using the Black-Scholes option pricing model and expense is recognized over the six month withholding period prior to the purchase date. During the nine months ended September 30, 2017, the Company issued 5,127 shares of common stock purchased under the 2016 ESPP.</w:t>
      </w:r>
    </w:p>
    <w:p>
      <w:pPr>
        <w:spacing w:after="0" w:line="15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Share-based compensation expense for options granted under the 2011 Plan and the 2016 Plan and shares purchased under the 2016 ESPP is reflected in the statements of operations and comprehensive loss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180" w:type="dxa"/>
            <w:vAlign w:val="bottom"/>
            <w:gridSpan w:val="4"/>
          </w:tcPr>
          <w:p>
            <w:pPr>
              <w:jc w:val="right"/>
              <w:ind w:right="105"/>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ind w:left="32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3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6"/>
                <w:szCs w:val="16"/>
                <w:b w:val="1"/>
                <w:bCs w:val="1"/>
                <w:color w:val="auto"/>
                <w:w w:val="91"/>
              </w:rPr>
              <w:t>September 30,</w:t>
            </w:r>
          </w:p>
        </w:tc>
        <w:tc>
          <w:tcPr>
            <w:tcW w:w="3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3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18"/>
                <w:szCs w:val="18"/>
                <w:color w:val="auto"/>
              </w:rPr>
            </w:pPr>
          </w:p>
        </w:tc>
        <w:tc>
          <w:tcPr>
            <w:tcW w:w="1040" w:type="dxa"/>
            <w:vAlign w:val="bottom"/>
            <w:gridSpan w:val="2"/>
          </w:tcPr>
          <w:p>
            <w:pPr>
              <w:jc w:val="right"/>
              <w:ind w:right="5"/>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34"/>
              <w:spacing w:after="0"/>
              <w:rPr>
                <w:sz w:val="20"/>
                <w:szCs w:val="20"/>
                <w:color w:val="auto"/>
              </w:rPr>
            </w:pPr>
            <w:r>
              <w:rPr>
                <w:rFonts w:ascii="Arial" w:cs="Arial" w:eastAsia="Arial" w:hAnsi="Arial"/>
                <w:sz w:val="16"/>
                <w:szCs w:val="16"/>
                <w:b w:val="1"/>
                <w:bCs w:val="1"/>
                <w:color w:val="auto"/>
              </w:rPr>
              <w:t>2017</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332"/>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r>
      <w:tr>
        <w:trPr>
          <w:trHeight w:val="226"/>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5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4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9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4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FF0FC"/>
            </w:tcBorders>
          </w:tcPr>
          <w:p>
            <w:pPr>
              <w:spacing w:after="0"/>
              <w:rPr>
                <w:sz w:val="19"/>
                <w:szCs w:val="19"/>
                <w:color w:val="auto"/>
              </w:rPr>
            </w:pPr>
          </w:p>
        </w:tc>
      </w:tr>
      <w:tr>
        <w:trPr>
          <w:trHeight w:val="223"/>
        </w:trPr>
        <w:tc>
          <w:tcPr>
            <w:tcW w:w="39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4"/>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2,420</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 Summary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had previously leased office space under non-cancelable operating leases which expired in March 2017.</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November 2016, the Company signed a new office lease agreement to lease approximately 20,000 square feet of office space in Alpharetta, Georgia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its corporate headquarters. The lease agreement is for a 6.5 year term with a renewal option for one additional five-year term. Rental payments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$35,145 per month subject to an increase of 3% per year. Rent expense under this lease is recognized on a straight-line basis over the term of the lease.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the lease agreement requires payment of the pro-rata share of the annual operating expenses associated with the premises. The Company relocated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new space in March 2017.</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future minimum lease payments were as follows at September 30, 2017 (in thousands):</w:t>
      </w:r>
    </w:p>
    <w:p>
      <w:pPr>
        <w:spacing w:after="0" w:line="240"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Year Ending December 31,</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2017</w:t>
            </w:r>
          </w:p>
        </w:tc>
        <w:tc>
          <w:tcPr>
            <w:tcW w:w="580" w:type="dxa"/>
            <w:vAlign w:val="bottom"/>
            <w:gridSpan w:val="2"/>
          </w:tcPr>
          <w:p>
            <w:pPr>
              <w:jc w:val="right"/>
              <w:ind w:right="40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FF0FC"/>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FF0FC"/>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80" w:type="dxa"/>
            <w:vAlign w:val="bottom"/>
            <w:shd w:val="clear" w:color="auto" w:fill="CFF0FC"/>
          </w:tcPr>
          <w:p>
            <w:pPr>
              <w:spacing w:after="0"/>
              <w:rPr>
                <w:sz w:val="19"/>
                <w:szCs w:val="19"/>
                <w:color w:val="auto"/>
              </w:rPr>
            </w:pPr>
          </w:p>
        </w:tc>
      </w:tr>
      <w:tr>
        <w:trPr>
          <w:trHeight w:val="223"/>
        </w:trPr>
        <w:tc>
          <w:tcPr>
            <w:tcW w:w="7000" w:type="dxa"/>
            <w:vAlign w:val="bottom"/>
          </w:tcPr>
          <w:p>
            <w:pPr>
              <w:ind w:left="240"/>
              <w:spacing w:after="0"/>
              <w:rPr>
                <w:sz w:val="20"/>
                <w:szCs w:val="20"/>
                <w:color w:val="auto"/>
              </w:rPr>
            </w:pPr>
            <w:r>
              <w:rPr>
                <w:rFonts w:ascii="Arial" w:cs="Arial" w:eastAsia="Arial" w:hAnsi="Arial"/>
                <w:sz w:val="18"/>
                <w:szCs w:val="18"/>
                <w:color w:val="auto"/>
              </w:rPr>
              <w:t>Total minimum lease payments</w:t>
            </w: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w:t>
            </w:r>
          </w:p>
        </w:tc>
        <w:tc>
          <w:tcPr>
            <w:tcW w:w="8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Rent expense was $58,000 and $20,000 for three months ended September 30, 2017 and 2016, respectively, and $156,000 and $61,000 for the nine months ended September 30,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Service Providers</w:t>
      </w:r>
    </w:p>
    <w:p>
      <w:pPr>
        <w:spacing w:after="0" w:line="117" w:lineRule="exact"/>
        <w:rPr>
          <w:sz w:val="20"/>
          <w:szCs w:val="20"/>
          <w:color w:val="auto"/>
        </w:rPr>
      </w:pPr>
    </w:p>
    <w:p>
      <w:pPr>
        <w:ind w:right="600" w:firstLine="518"/>
        <w:spacing w:after="0" w:line="342" w:lineRule="auto"/>
        <w:rPr>
          <w:sz w:val="20"/>
          <w:szCs w:val="20"/>
          <w:color w:val="auto"/>
        </w:rPr>
      </w:pPr>
      <w:r>
        <w:rPr>
          <w:rFonts w:ascii="Arial" w:cs="Arial" w:eastAsia="Arial" w:hAnsi="Arial"/>
          <w:sz w:val="16"/>
          <w:szCs w:val="16"/>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10. License and Collaboration Agreements</w:t>
      </w:r>
    </w:p>
    <w:p>
      <w:pPr>
        <w:spacing w:after="0" w:line="121"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In August 2014, the Company entered into a royalty-bearing license agreement with NovaMedica LLC (“NovaMedica”). Under this agreement, the Company granted to NovaMedica the right to use the Company’s intellectual property to develop and commercialize the intended products (the “Covered Products”) and to have the exclusive right to sell those products in Russia and specified adjacent territories involving the use of the corticosteroid triamcinolone acetonide as the sole active pharmaceutical ingredient for administration in the SCS. In connection with this royalty-bearing license, NovaMedica made an upfront payment to the Company of $200,000. The Company is currently developing product candidates that when completed would be subject to this license giving NovaMedica the exclusive right to then sell the products in the specified geographic territories. In mid-December 2015, the Company received positive results from the Phase 2 clinical trial relating to the product candidate and determined, based on these results, that the intellectual property could become commercially feasible. Beginning in the first quarter of 2016, the Company began recognizing the $200,000 to revenue over the period of time estimated to complete clinical development and commercialization of the Covered Products and the beginning of the first set of patent expirations in 2027. The Company recorded $5,000 and $15,000 of license revenue during each of the three and nine months ended September 30, 2017 and 2016, respectively, for this license agreement. NovaMedica is jointly owned by Rusnano MedInvest LLC and Domain Russia Investments Limited.</w:t>
      </w:r>
    </w:p>
    <w:p>
      <w:pPr>
        <w:spacing w:after="0" w:line="173" w:lineRule="exact"/>
        <w:rPr>
          <w:sz w:val="20"/>
          <w:szCs w:val="20"/>
          <w:color w:val="auto"/>
        </w:rPr>
      </w:pPr>
    </w:p>
    <w:p>
      <w:pPr>
        <w:ind w:right="440" w:firstLine="518"/>
        <w:spacing w:after="0" w:line="279" w:lineRule="auto"/>
        <w:rPr>
          <w:sz w:val="20"/>
          <w:szCs w:val="20"/>
          <w:color w:val="auto"/>
        </w:rPr>
      </w:pPr>
      <w:r>
        <w:rPr>
          <w:rFonts w:ascii="Arial" w:cs="Arial" w:eastAsia="Arial" w:hAnsi="Arial"/>
          <w:sz w:val="17"/>
          <w:szCs w:val="17"/>
          <w:color w:val="auto"/>
        </w:rPr>
        <w:t>In April 2015, the Company entered into a license and collaboration agreement (the “Spark Agreement”) with Spark Therapeutics, Inc. (“Spark”) under which Spark could acquire the exclusive rights to license the Company’s microinjector technology and access to the SCS within the eye for development and ultimate commercialization of Spark’s gene therapy treatments to be delivered via the microinjector. In conjunction with executing the Spark Agreement, Spark made an upfront, non-refundable payment to the Company of $500,000.</w:t>
      </w:r>
    </w:p>
    <w:p>
      <w:pPr>
        <w:spacing w:after="0" w:line="171" w:lineRule="exact"/>
        <w:rPr>
          <w:sz w:val="20"/>
          <w:szCs w:val="20"/>
          <w:color w:val="auto"/>
        </w:rPr>
      </w:pPr>
    </w:p>
    <w:p>
      <w:pPr>
        <w:jc w:val="both"/>
        <w:ind w:right="240" w:firstLine="518"/>
        <w:spacing w:after="0" w:line="286" w:lineRule="auto"/>
        <w:rPr>
          <w:sz w:val="20"/>
          <w:szCs w:val="20"/>
          <w:color w:val="auto"/>
        </w:rPr>
      </w:pPr>
      <w:r>
        <w:rPr>
          <w:rFonts w:ascii="Arial" w:cs="Arial" w:eastAsia="Arial" w:hAnsi="Arial"/>
          <w:sz w:val="17"/>
          <w:szCs w:val="17"/>
          <w:color w:val="auto"/>
        </w:rPr>
        <w:t>In February 2016, the initial study was completed and Spark elected not to extend the arrangement nor license the technology which terminated the Spark Agreement in accordance with its terms. During the nine months ended September 30, 2016, the Company recorded as revenue the $500,000 upfront payment as the amount was non-refundable and the Company had no further obligations under the Spark Agreement.</w:t>
      </w:r>
    </w:p>
    <w:p>
      <w:pPr>
        <w:spacing w:after="0" w:line="166" w:lineRule="exact"/>
        <w:rPr>
          <w:sz w:val="20"/>
          <w:szCs w:val="20"/>
          <w:color w:val="auto"/>
        </w:rPr>
      </w:pPr>
    </w:p>
    <w:p>
      <w:pPr>
        <w:jc w:val="both"/>
        <w:ind w:right="80" w:firstLine="476"/>
        <w:spacing w:after="0" w:line="259" w:lineRule="auto"/>
        <w:rPr>
          <w:sz w:val="20"/>
          <w:szCs w:val="20"/>
          <w:color w:val="auto"/>
        </w:rPr>
      </w:pPr>
      <w:r>
        <w:rPr>
          <w:rFonts w:ascii="Arial" w:cs="Arial" w:eastAsia="Arial" w:hAnsi="Arial"/>
          <w:sz w:val="18"/>
          <w:szCs w:val="18"/>
          <w:color w:val="auto"/>
        </w:rPr>
        <w:t>The Company has periodically entered into other short-term collaboration agreements to evaluate the potential use of its proprietary SCS microinjector with third-party product candidates for the treatment of various diseases. Funds received from these collaboration agreements are recognized as revenue over the term of the agreement. The Company recorded $150,000 and $275,000 of revenue from these collaboration agreements during the three and nine months ended September 30, 2017, respectively.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Available-for-Sale Investments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available-for-sale investments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September 30, 2017</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213"/>
              <w:spacing w:after="0"/>
              <w:rPr>
                <w:sz w:val="20"/>
                <w:szCs w:val="20"/>
                <w:color w:val="auto"/>
              </w:rPr>
            </w:pPr>
            <w:r>
              <w:rPr>
                <w:rFonts w:ascii="Arial" w:cs="Arial" w:eastAsia="Arial" w:hAnsi="Arial"/>
                <w:sz w:val="16"/>
                <w:szCs w:val="16"/>
                <w:b w:val="1"/>
                <w:bCs w:val="1"/>
                <w:color w:val="auto"/>
              </w:rPr>
              <w:t>Amortized</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Unrealized</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33"/>
              <w:spacing w:after="0"/>
              <w:rPr>
                <w:sz w:val="20"/>
                <w:szCs w:val="20"/>
                <w:color w:val="auto"/>
              </w:rPr>
            </w:pPr>
            <w:r>
              <w:rPr>
                <w:rFonts w:ascii="Arial" w:cs="Arial" w:eastAsia="Arial" w:hAnsi="Arial"/>
                <w:sz w:val="16"/>
                <w:szCs w:val="16"/>
                <w:b w:val="1"/>
                <w:bCs w:val="1"/>
                <w:color w:val="auto"/>
              </w:rPr>
              <w:t>Cost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Losses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4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Government bonds and treasury bills</w:t>
            </w:r>
          </w:p>
        </w:tc>
        <w:tc>
          <w:tcPr>
            <w:tcW w:w="28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13,727</w:t>
            </w:r>
          </w:p>
        </w:tc>
        <w:tc>
          <w:tcPr>
            <w:tcW w:w="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Commercial paper</w:t>
            </w:r>
          </w:p>
        </w:tc>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2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Corporate bonds</w:t>
            </w:r>
          </w:p>
        </w:tc>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available-for-sale investments</w:t>
            </w:r>
          </w:p>
        </w:tc>
        <w:tc>
          <w:tcPr>
            <w:tcW w:w="268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vMerge w:val="continue"/>
            <w:shd w:val="clear" w:color="auto" w:fill="CFF0FC"/>
          </w:tcPr>
          <w:p>
            <w:pPr>
              <w:spacing w:after="0"/>
              <w:rPr>
                <w:sz w:val="19"/>
                <w:szCs w:val="19"/>
                <w:color w:val="auto"/>
              </w:rPr>
            </w:pPr>
          </w:p>
        </w:tc>
        <w:tc>
          <w:tcPr>
            <w:tcW w:w="26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36,346</w:t>
            </w:r>
          </w:p>
        </w:tc>
        <w:tc>
          <w:tcPr>
            <w:tcW w:w="2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FF0FC"/>
            </w:tcBorders>
          </w:tcPr>
          <w:p>
            <w:pPr>
              <w:spacing w:after="0" w:line="20" w:lineRule="exact"/>
              <w:rPr>
                <w:sz w:val="1"/>
                <w:szCs w:val="1"/>
                <w:color w:val="auto"/>
              </w:rPr>
            </w:pPr>
          </w:p>
        </w:tc>
        <w:tc>
          <w:tcPr>
            <w:tcW w:w="2680" w:type="dxa"/>
            <w:vAlign w:val="bottom"/>
            <w:tcBorders>
              <w:top w:val="single" w:sz="8" w:color="CFF0FC"/>
              <w:bottom w:val="single" w:sz="8" w:color="CFF0FC"/>
            </w:tcBorders>
            <w:vMerge w:val="restart"/>
          </w:tcPr>
          <w:p>
            <w:pPr>
              <w:jc w:val="right"/>
              <w:ind w:right="930"/>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91"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12. Fair Value Measurements</w:t>
      </w:r>
    </w:p>
    <w:p>
      <w:pPr>
        <w:spacing w:after="0" w:line="121"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 xml:space="preserve">The Company records certain financial assets and liabilities at fair value in accordance with the provisions of ASC Topic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 and Disclosures</w:t>
      </w:r>
      <w:r>
        <w:rPr>
          <w:rFonts w:ascii="Arial" w:cs="Arial" w:eastAsia="Arial" w:hAnsi="Arial"/>
          <w:sz w:val="16"/>
          <w:szCs w:val="16"/>
          <w:color w:val="auto"/>
        </w:rPr>
        <w:t>, on fair value measurements. As defined in the guidance, fair value, defined as an exit price, represents the amount that would</w:t>
      </w:r>
      <w:r>
        <w:rPr>
          <w:rFonts w:ascii="Arial" w:cs="Arial" w:eastAsia="Arial" w:hAnsi="Arial"/>
          <w:sz w:val="16"/>
          <w:szCs w:val="16"/>
          <w:i w:val="1"/>
          <w:iCs w:val="1"/>
          <w:color w:val="auto"/>
        </w:rPr>
        <w:t xml:space="preserve"> </w:t>
      </w:r>
      <w:r>
        <w:rPr>
          <w:rFonts w:ascii="Arial" w:cs="Arial" w:eastAsia="Arial" w:hAnsi="Arial"/>
          <w:sz w:val="16"/>
          <w:szCs w:val="16"/>
          <w:color w:val="auto"/>
        </w:rPr>
        <w:t>be received to sell an asset or pay to transfer a liability in an orderly transaction between market participants. As a result, fair value is a market-based approach that should be determined based on assumptions that market participants would use in pricing an asset or a liability. As a basis for considering these assumptions, the guidance defines a three-tier value hierarchy that prioritizes the inputs used in the valuation methodologies in measuring fair value.</w:t>
      </w:r>
    </w:p>
    <w:p>
      <w:pPr>
        <w:spacing w:after="0" w:line="50"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1—Unadjusted quoted prices in active, accessible markets for identical assets or liabilities.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2—Other inputs that are directly or indirectly observable in the marketplace.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The Company’s material financial instruments at September 30, 2017 and December 31, 2016 consisted primarily of cash and cash equivalents, short-term investments and long-term debt. The fair value of cash and cash equivalents, government bonds and treasury bills, other current assets and accounts payable approximate their respective carrying values due to the short term nature of these instruments and are classified as Level 1 in the fair hierarchy. The fair value of long-term debt approximates the carrying value due to variable interest rates that correspond to market rates. The Company has determined its short-term investments, comprised of certificates of deposit, corporate bonds and commercial paper, to be Level 2 in the fair value hierarchy. The fair value was determined using a market approach, based on prices and other relevant information generated by market transactions involving similar assets. The short-term investments consist of investments with original maturity dates from date of acquisition of 90 to 365 days and are classified as available-for-sale.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significant transfers between Levels 1, 2 and 3 during the nine months ended September 30, 2017 and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following tables summarize the fair value of financial assets that are measured at fair value and the classification by level of input within the fair value hierarchy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6"/>
                <w:szCs w:val="16"/>
                <w:b w:val="1"/>
                <w:bCs w:val="1"/>
                <w:color w:val="auto"/>
              </w:rPr>
              <w:t>September 30, 2017</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9"/>
        </w:trPr>
        <w:tc>
          <w:tcPr>
            <w:tcW w:w="5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Recorded</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3"/>
        </w:trPr>
        <w:tc>
          <w:tcPr>
            <w:tcW w:w="5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71"/>
              <w:spacing w:after="0"/>
              <w:rPr>
                <w:sz w:val="20"/>
                <w:szCs w:val="20"/>
                <w:color w:val="auto"/>
              </w:rPr>
            </w:pPr>
            <w:r>
              <w:rPr>
                <w:rFonts w:ascii="Arial" w:cs="Arial" w:eastAsia="Arial" w:hAnsi="Arial"/>
                <w:sz w:val="16"/>
                <w:szCs w:val="16"/>
                <w:b w:val="1"/>
                <w:bCs w:val="1"/>
                <w:color w:val="auto"/>
                <w:w w:val="95"/>
              </w:rPr>
              <w:t>Level 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w:t>
            </w:r>
          </w:p>
        </w:tc>
        <w:tc>
          <w:tcPr>
            <w:tcW w:w="580" w:type="dxa"/>
            <w:vAlign w:val="bottom"/>
          </w:tcPr>
          <w:p>
            <w:pPr>
              <w:spacing w:after="0"/>
              <w:rPr>
                <w:sz w:val="18"/>
                <w:szCs w:val="18"/>
                <w:color w:val="auto"/>
              </w:rPr>
            </w:pPr>
          </w:p>
        </w:tc>
      </w:tr>
      <w:tr>
        <w:trPr>
          <w:trHeight w:val="226"/>
        </w:trPr>
        <w:tc>
          <w:tcPr>
            <w:tcW w:w="580" w:type="dxa"/>
            <w:vAlign w:val="bottom"/>
          </w:tcPr>
          <w:p>
            <w:pPr>
              <w:spacing w:after="0"/>
              <w:rPr>
                <w:sz w:val="19"/>
                <w:szCs w:val="19"/>
                <w:color w:val="auto"/>
              </w:rPr>
            </w:pPr>
          </w:p>
        </w:tc>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420" w:type="dxa"/>
            <w:vAlign w:val="bottom"/>
            <w:gridSpan w:val="2"/>
          </w:tcPr>
          <w:p>
            <w:pPr>
              <w:jc w:val="center"/>
              <w:ind w:left="10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13,355</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94"/>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13,355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Government bonds and treasury bills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13,723</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13,723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5,121</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Corporate bonds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8,217</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8,217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12,211</w:t>
            </w:r>
          </w:p>
        </w:tc>
        <w:tc>
          <w:tcPr>
            <w:tcW w:w="3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Total financial assets</w:t>
            </w:r>
          </w:p>
        </w:tc>
        <w:tc>
          <w:tcPr>
            <w:tcW w:w="1220" w:type="dxa"/>
            <w:vAlign w:val="bottom"/>
          </w:tcPr>
          <w:p>
            <w:pPr>
              <w:spacing w:after="0"/>
              <w:rPr>
                <w:sz w:val="19"/>
                <w:szCs w:val="19"/>
                <w:color w:val="auto"/>
              </w:rPr>
            </w:pPr>
          </w:p>
        </w:tc>
        <w:tc>
          <w:tcPr>
            <w:tcW w:w="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27,438</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25,549</w:t>
            </w:r>
          </w:p>
        </w:tc>
        <w:tc>
          <w:tcPr>
            <w:tcW w:w="340" w:type="dxa"/>
            <w:vAlign w:val="bottom"/>
          </w:tcPr>
          <w:p>
            <w:pPr>
              <w:spacing w:after="0"/>
              <w:rPr>
                <w:sz w:val="19"/>
                <w:szCs w:val="19"/>
                <w:color w:val="auto"/>
              </w:rPr>
            </w:pPr>
          </w:p>
        </w:tc>
        <w:tc>
          <w:tcPr>
            <w:tcW w:w="78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23"/>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6"/>
                <w:szCs w:val="16"/>
                <w:b w:val="1"/>
                <w:bCs w:val="1"/>
                <w:color w:val="auto"/>
              </w:rPr>
              <w:t>December 31, 2016</w:t>
            </w: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9"/>
        </w:trPr>
        <w:tc>
          <w:tcPr>
            <w:tcW w:w="5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Recorded</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3"/>
        </w:trPr>
        <w:tc>
          <w:tcPr>
            <w:tcW w:w="5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71"/>
              <w:spacing w:after="0"/>
              <w:rPr>
                <w:sz w:val="20"/>
                <w:szCs w:val="20"/>
                <w:color w:val="auto"/>
              </w:rPr>
            </w:pPr>
            <w:r>
              <w:rPr>
                <w:rFonts w:ascii="Arial" w:cs="Arial" w:eastAsia="Arial" w:hAnsi="Arial"/>
                <w:sz w:val="16"/>
                <w:szCs w:val="16"/>
                <w:b w:val="1"/>
                <w:bCs w:val="1"/>
                <w:color w:val="auto"/>
                <w:w w:val="95"/>
              </w:rPr>
              <w:t>Level 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w:t>
            </w:r>
          </w:p>
        </w:tc>
        <w:tc>
          <w:tcPr>
            <w:tcW w:w="580" w:type="dxa"/>
            <w:vAlign w:val="bottom"/>
          </w:tcPr>
          <w:p>
            <w:pPr>
              <w:spacing w:after="0"/>
              <w:rPr>
                <w:sz w:val="18"/>
                <w:szCs w:val="18"/>
                <w:color w:val="auto"/>
              </w:rPr>
            </w:pPr>
          </w:p>
        </w:tc>
      </w:tr>
      <w:tr>
        <w:trPr>
          <w:trHeight w:val="226"/>
        </w:trPr>
        <w:tc>
          <w:tcPr>
            <w:tcW w:w="580" w:type="dxa"/>
            <w:vAlign w:val="bottom"/>
          </w:tcPr>
          <w:p>
            <w:pPr>
              <w:spacing w:after="0"/>
              <w:rPr>
                <w:sz w:val="19"/>
                <w:szCs w:val="19"/>
                <w:color w:val="auto"/>
              </w:rPr>
            </w:pPr>
          </w:p>
        </w:tc>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420" w:type="dxa"/>
            <w:vAlign w:val="bottom"/>
            <w:gridSpan w:val="2"/>
          </w:tcPr>
          <w:p>
            <w:pPr>
              <w:jc w:val="center"/>
              <w:ind w:left="10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29,928</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94"/>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29,928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Government bonds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19,027</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19,027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6,579</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Agency obligations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4,179</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7,262</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Commercial paper</w:t>
            </w:r>
          </w:p>
        </w:tc>
        <w:tc>
          <w:tcPr>
            <w:tcW w:w="1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16,656</w:t>
            </w:r>
          </w:p>
        </w:tc>
        <w:tc>
          <w:tcPr>
            <w:tcW w:w="3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16,656</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8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financial assets</w:t>
            </w:r>
          </w:p>
        </w:tc>
        <w:tc>
          <w:tcPr>
            <w:tcW w:w="1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center"/>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49,315</w:t>
            </w:r>
          </w:p>
        </w:tc>
        <w:tc>
          <w:tcPr>
            <w:tcW w:w="3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34,676</w:t>
            </w:r>
          </w:p>
        </w:tc>
        <w:tc>
          <w:tcPr>
            <w:tcW w:w="3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4"/>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83,991</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20" w:type="dxa"/>
            <w:vAlign w:val="bottom"/>
            <w:gridSpan w:val="2"/>
          </w:tcPr>
          <w:p>
            <w:pPr>
              <w:jc w:val="center"/>
              <w:ind w:left="1030"/>
              <w:spacing w:after="0"/>
              <w:rPr>
                <w:sz w:val="20"/>
                <w:szCs w:val="20"/>
                <w:color w:val="auto"/>
              </w:rPr>
            </w:pPr>
            <w:r>
              <w:rPr>
                <w:rFonts w:ascii="Arial" w:cs="Arial" w:eastAsia="Arial" w:hAnsi="Arial"/>
                <w:sz w:val="18"/>
                <w:szCs w:val="18"/>
                <w:color w:val="auto"/>
                <w:w w:val="89"/>
              </w:rPr>
              <w:t>13</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94" w:right="2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w:t>
      </w:r>
    </w:p>
    <w:p>
      <w:pPr>
        <w:spacing w:after="0" w:line="18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For all periods presented, the Company’s potential common stock equivalents, which included stock options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w:t>
      </w:r>
    </w:p>
    <w:p>
      <w:pPr>
        <w:spacing w:after="0" w:line="18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Company’s potential common stock equivalents that have been excluded from the computation of diluted net loss per share for all periods presented because of their antidilutive effect consisted of the following:</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260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2"/>
              </w:rPr>
              <w:t>Three Months Ended</w:t>
            </w:r>
          </w:p>
        </w:tc>
        <w:tc>
          <w:tcPr>
            <w:tcW w:w="240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5280" w:type="dxa"/>
            <w:vAlign w:val="bottom"/>
          </w:tcPr>
          <w:p>
            <w:pPr>
              <w:spacing w:after="0"/>
              <w:rPr>
                <w:sz w:val="18"/>
                <w:szCs w:val="18"/>
                <w:color w:val="auto"/>
              </w:rPr>
            </w:pPr>
          </w:p>
        </w:tc>
        <w:tc>
          <w:tcPr>
            <w:tcW w:w="260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240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9"/>
              </w:rPr>
              <w:t>September 30,</w:t>
            </w:r>
          </w:p>
        </w:tc>
      </w:tr>
      <w:tr>
        <w:trPr>
          <w:trHeight w:val="159"/>
        </w:trPr>
        <w:tc>
          <w:tcPr>
            <w:tcW w:w="528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76"/>
              <w:spacing w:after="0" w:line="159"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14"/>
              <w:spacing w:after="0" w:line="159"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6"/>
              <w:spacing w:after="0" w:line="159"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94"/>
              <w:spacing w:after="0" w:line="159"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2,274,290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1,414,594</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2,274,290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1,414,594</w:t>
            </w:r>
          </w:p>
        </w:tc>
        <w:tc>
          <w:tcPr>
            <w:tcW w:w="120" w:type="dxa"/>
            <w:vAlign w:val="bottom"/>
            <w:shd w:val="clear" w:color="auto" w:fill="CFF0FC"/>
          </w:tcPr>
          <w:p>
            <w:pPr>
              <w:spacing w:after="0"/>
              <w:rPr>
                <w:sz w:val="19"/>
                <w:szCs w:val="19"/>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 purchase warrants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29,796</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55,770</w:t>
            </w:r>
          </w:p>
        </w:tc>
        <w:tc>
          <w:tcPr>
            <w:tcW w:w="3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29,796</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55,770</w:t>
            </w:r>
          </w:p>
        </w:tc>
        <w:tc>
          <w:tcPr>
            <w:tcW w:w="120" w:type="dxa"/>
            <w:vAlign w:val="bottom"/>
            <w:tcBorders>
              <w:bottom w:val="single" w:sz="8" w:color="CFF0FC"/>
            </w:tcBorders>
          </w:tcPr>
          <w:p>
            <w:pPr>
              <w:spacing w:after="0"/>
              <w:rPr>
                <w:sz w:val="19"/>
                <w:szCs w:val="19"/>
                <w:color w:val="auto"/>
              </w:rPr>
            </w:pPr>
          </w:p>
        </w:tc>
      </w:tr>
      <w:tr>
        <w:trPr>
          <w:trHeight w:val="223"/>
        </w:trPr>
        <w:tc>
          <w:tcPr>
            <w:tcW w:w="5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2,304,086</w:t>
            </w:r>
          </w:p>
        </w:tc>
        <w:tc>
          <w:tcPr>
            <w:tcW w:w="2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1,470,364</w:t>
            </w:r>
          </w:p>
        </w:tc>
        <w:tc>
          <w:tcPr>
            <w:tcW w:w="3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2,304,086</w:t>
            </w:r>
          </w:p>
        </w:tc>
        <w:tc>
          <w:tcPr>
            <w:tcW w:w="2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1,470,364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w:t>
      </w:r>
      <w:r>
        <w:rPr>
          <w:rFonts w:ascii="Arial" w:cs="Arial" w:eastAsia="Arial" w:hAnsi="Arial"/>
          <w:sz w:val="18"/>
          <w:szCs w:val="18"/>
          <w:b w:val="1"/>
          <w:bCs w:val="1"/>
          <w:color w:val="auto"/>
        </w:rPr>
        <w:t>. Subsequent Event</w:t>
      </w:r>
    </w:p>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On October 31, 2017, the Company entered into an amendment to its loan agreement (see Note 5) with the Lenders. Pursuant to the amendment to the loan agreement, if the Company becomes eligible to draw the remaining $7.0 million tranche under the loan agreement, the Company will be able to draw such funds at its discretion until the earlier of (i) March 31, 2018 and (ii) the occurrence of an event of default under the loan agreement. The Company paid a fee of $35,000 to the Lenders in connection with entering into the amendment.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94"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particularly in Part II – Item 1A, “Risk Factors,” and our other filings with the Securities and Exchange Commission, or SEC.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178" w:lineRule="exact"/>
        <w:rPr>
          <w:sz w:val="20"/>
          <w:szCs w:val="20"/>
          <w:color w:val="auto"/>
        </w:rPr>
      </w:pPr>
    </w:p>
    <w:p>
      <w:pPr>
        <w:jc w:val="both"/>
        <w:ind w:right="200" w:firstLine="518"/>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unaudited financial statements and related notes that appear in Item 1 of this Quarterly Report on Form 10-Q and with our audited financial statements and related notes for the year ended December 31, 2016 appearing in our Annual Report on Form 10-K filed with the SEC on March 16,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are a late-stage clinical biopharmaceutical company developing first-in-class drug therapies to treat blinding diseases of the eye. Our current product candidates focus on treatments for diseases affecting the retina and choroid, especially diseases associated with macular edema, and are injected into the suprachoroidal space, or SCS, using our proprietary SCS Microinjector. With the suprachoroidal injection procedure, our product candidates are more directly administered to the retina and choroid as compared to other ocular drug administration techniques such as intravitreal injections. We believe treatment of eye disease via suprachoroidal injection may provide a number of benefits, including lower frequency of necessary administration and faster onset of therapeutic effect. We hold the exclusive rights to develop and commercialize drugs for treatment via injection into the SCS. Our most advanced product candidates are based on commonly used ophthalmic drugs, which we believe will allow us to more efficiently and predictably pursue the regulatory approval of these product candidates under Section 505(b)(2) of the Federal Food, Drug, and Cosmetic Act.</w:t>
      </w:r>
    </w:p>
    <w:p>
      <w:pPr>
        <w:spacing w:after="0" w:line="179"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are developing CLS-TA, our proprietary, preservative-free formulation of the corticosteroid triamcinolone acetonide, or TA, to be administered suprachoroidally, or suprachoroidal CLS-TA, for the treatment of patients with non-infectious uveitis. We have completed enrollment of 160 patients with macular edema associated with non-infectious uveitis in a pivotal Phase 3 clinical trial, which we refer to as PEACHTREE, and expect to report preliminary data from this trial in the first quarter of 2018. We believe, based on our end-of-Phase 2 review with the Food and Drug Administration, or FDA, in May 2015, that only one Clearside-sponsored, pivotal Phase 3 clinical trial will be required to support the filing of a New Drug Application, or NDA, to the FDA. If we receive positive data from PEACHTREE, we intend to file an NDA for CLS-TA for the treatment of patients with non-infectious uveitis by the end of 2018.</w:t>
      </w:r>
    </w:p>
    <w:p>
      <w:pPr>
        <w:spacing w:after="0" w:line="189"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are also developing CLS-TA along with an anti-VEGF agent for the treatment of macular edema associated with retinal vein occlusion, or RVO, a sight-threatening disorder resulting from the blockage of a retinal vein. We are exploring whether suprachoroidal CLS-TA together with an intravitreal injection of Eylea, an inhibitor of vascular endothelial growth factor, or VEGF, can provide improved visual acuity, reduced macular edema and reduced injection frequency, as compared to administration of intravitreal Eylea alone.</w:t>
      </w:r>
    </w:p>
    <w:p>
      <w:pPr>
        <w:spacing w:after="0" w:line="187"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We have completed a Phase 2 clinical trial in 46 patients with macular edema associated with RVO. In this trial, 23 patients in the active arm initially received suprachoroidal CLS-TA together with an intravitreal injection of Eylea, or intravitreal Eylea, and 23 patients in the control arm initially received only intravitreal Eylea. The objective of the trial was to determine whether patients receiving suprachoroidal CLS-TA together with intravitreal Eylea could sustain this improved visual acuity over the three months of the clinical trial while requiring fewer additional Eylea treatments than patients receiving intravitreal Eylea alone. Patients in each arm were evaluated at months one, two and three after the initial treatment using pre-specified criteria to determine if they continued to experience macular edema or reductions in visual acuity and therefore required additional intravitreal Eylea treatments. The primary objective of the trial was met, with patients in the active arm requiring an aggregate of 60% fewer additional Eylea treatments than patients in the control arm over three months, a result that was statistically significant (p=0.013). In addition, 18 of the 23 patients, or 78%, in the active arm of the trial did not require additional treatments during the three-month trial compared to 7 of the 23 patients, or 30%, in the control arm, a result that was also statistically significant (p=0.003). In the same Phase 2 trial, patients in the active arm experienced greater improvement in visual acuity than those in the control arm, with patients in the active arm experiencing mean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6" w:name="page17"/>
    <w:bookmarkEnd w:id="16"/>
    <w:p>
      <w:pPr>
        <w:jc w:val="both"/>
        <w:ind w:right="80"/>
        <w:spacing w:after="0" w:line="312" w:lineRule="auto"/>
        <w:rPr>
          <w:sz w:val="20"/>
          <w:szCs w:val="20"/>
          <w:color w:val="auto"/>
        </w:rPr>
      </w:pPr>
      <w:r>
        <w:rPr>
          <w:rFonts w:ascii="Arial" w:cs="Arial" w:eastAsia="Arial" w:hAnsi="Arial"/>
          <w:sz w:val="16"/>
          <w:szCs w:val="16"/>
          <w:color w:val="auto"/>
        </w:rPr>
        <w:t>BCVA improvements at months one, two and three of 16, 20 and 19 letters, respectively, compared to improvements of 11, 12 and 11 letters, respectively, in the control arm at the same time points. Based on the results of this trial and after incorporating feedback from an end-of-Phase 2 meeting with the FDA held in late 2016, we began to enroll patients in a Phase 3 clinical trial, which we refer to as SAPPHIRE, in the first quarter of 2017.</w:t>
      </w:r>
    </w:p>
    <w:p>
      <w:pPr>
        <w:spacing w:after="0" w:line="14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are continuing to enroll patients in SAPPHIRE, a multicenter, randomized, masked, controlled trial, to assess the efficacy and safety of suprachoroidal CLS-TA together with intravitreal Eylea in patients with RVO. Patients in the combination treatment arm will receive suprachoroidal CLS-TA together with intravitreal Eylea at the beginning of the trial, intravitreal Eylea alone at week 4, and suprachoroidal CLS-TA together with intravitreal Eylea at weeks 12 and 24. Patients in the control arm will receive intravitreal Eylea alone at the beginning of the trial and follow-up intravitreal Eylea alone every four weeks through and including week 24. After 24 weeks, patients will be followed for approximately an additional six months. The primary objective of this trial will be to determine the proportion of patients in each arm with a best corrected visual acuity improvement of at least 15 letters from baseline at eight weeks after initial treatment. There will be several secondary efficacy and safety endpoints that will also be evaluated. We anticipate total enrollment of approximately 460 patients in the trial. We expect to report preliminary results from SAPPHIRE in the first quarter of 2019. In addition, in the third quarter of 2017, we began the start-up activities for a second Phase 3 clinical trial in patients with RVO, which we refer to as TOPAZ. We expect to enroll the first patient in TOPAZ in the first quarter of 2018.</w:t>
      </w:r>
    </w:p>
    <w:p>
      <w:pPr>
        <w:spacing w:after="0" w:line="178"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are also developing suprachoroidal CLS-TA for the treatment of diabetic macular edema, or DME. In November 2016, we began enrolling patients with DME in an open-label, multi-center Phase 1/2 clinical trial, which we refer to as HULK, to obtain safety data and to observe efficacy outcomes from administering a combination of intravitreal Eylea and suprachoroidal CLS-TA, as well as suprachoroidal CLS-TA alone, over a six-month evaluation period. In April 2017, we completed enrolling 20 patients and initial results suggest encouraging efficacy with a trend toward durability, particularly in the combination treatment arm. Suprachoroidal CLS-TA, both alone, and in combination with intravitreal Eylea has been well tolerated to date.</w:t>
      </w:r>
    </w:p>
    <w:p>
      <w:pPr>
        <w:spacing w:after="0" w:line="158"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We also commenced a Phase 2 clinical trial, which we refer to as TYBEE, in the second quarter of 2017 to evaluate the safety and efficacy of administering a combination of intravitreal Eylea and suprachoroidal CLS-TA to patients with DME, as compared to intravitreal Eylea alone. We completed enrollment of 71 patients in this trial in October 2017. Patient follow-up in TYBEE is six months after initial treatment and we expect to report preliminary data in the second quarter of 2018.</w:t>
      </w:r>
    </w:p>
    <w:p>
      <w:pPr>
        <w:spacing w:after="0" w:line="187"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We are also conducting nonclinical studies both internally and with multiple collaborations in development areas such as gene therapy for inherited retinal disorders, neovascular age-related macular degeneration, also known as wet AMD, and other ocular diseases that may benefit from a suprachoroidal administration of treatment approach.</w:t>
      </w:r>
    </w:p>
    <w:p>
      <w:pPr>
        <w:spacing w:after="0" w:line="181" w:lineRule="exact"/>
        <w:rPr>
          <w:sz w:val="20"/>
          <w:szCs w:val="20"/>
          <w:color w:val="auto"/>
        </w:rPr>
      </w:pPr>
    </w:p>
    <w:p>
      <w:pPr>
        <w:ind w:right="760" w:firstLine="518"/>
        <w:spacing w:after="0" w:line="264" w:lineRule="auto"/>
        <w:rPr>
          <w:sz w:val="20"/>
          <w:szCs w:val="20"/>
          <w:color w:val="auto"/>
        </w:rPr>
      </w:pPr>
      <w:r>
        <w:rPr>
          <w:rFonts w:ascii="Arial" w:cs="Arial" w:eastAsia="Arial" w:hAnsi="Arial"/>
          <w:sz w:val="18"/>
          <w:szCs w:val="18"/>
          <w:color w:val="auto"/>
        </w:rPr>
        <w:t>If any of our product candidates are approved, we plan to commercialize them with a specialty team of 30 to 40 sales and medical marketing professionals to target the approximately 1,700 retinal specialists in the United States, and we may also pursue collaborations with third parties to commercialize any of our drugs approved for marketing outside the United States.</w:t>
      </w:r>
    </w:p>
    <w:p>
      <w:pPr>
        <w:spacing w:after="0" w:line="181"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We have incurred net losses since our inception in 2011. Our operations to date have been primarily focused on undertaking nonclinical studies and conducting clinical trials of our most advanced product candidates. To date, we have not generated any revenue, other than license and collaboration revenue, and we have primarily financed our operations through public offerings and private placements of our equity securities, issuances of convertible promissory notes and loan agreements. As of September 30, 2017, we had an accumulated deficit of $107.7 million. We recorded net losses of $18.3 million and $5.6 million for the three months ended September 30, 2017 and 2016, respectively, and $42.5 million and $16.2 million for the nine months ended September 30, 2017 and 2016, respectively. We anticipate that a substantial portion of our capital resources and efforts in the foreseeable future will be focused on completing the necessary development for and obtaining regulatory approval and preparing for potential commercialization of our product candidates.</w:t>
      </w:r>
    </w:p>
    <w:p>
      <w:pPr>
        <w:spacing w:after="0" w:line="16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expect to continue to incur significant and increasing operating losses at least for the next several years. We do not expect to generate product revenue unless and until we successfully complete necessary development for, and obtain regulatory approval for one or more of our product candidates. Our net losses may fluctuate significantly from quarter to quarter and year to year, depending on the timing of our clinical trials and our expenditures on other research and development activities. We anticipate that our expenses will increase as we:</w:t>
      </w:r>
    </w:p>
    <w:p>
      <w:pPr>
        <w:spacing w:after="0" w:line="79"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our ongoing PEACHTREE, SAPPHIRE, HULK and TYBEE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 and conduct our planned future clinical trials, including our TOPAZ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to discover, research and develop additional product candidates;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 and other developmental efforts necessary to seek such approvals;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ind w:left="1040" w:right="60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and scale up external manufacturing capabilities to commercialize any product candidates for which we may obtain regulatory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additional non-clinical and clinical, manufacturing, medical and scientific personnel;</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development and potential future commercialization efforts;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have not generated any revenue from the sale of any drugs, and we do not expect to generate any revenue unless or until we obtain regulatory approval of and commercialize our product candidates. In 2014, we executed a license agreement with NovaMedica LLC, or NovaMedica, and in 2015, we executed a license agreement with Spark Therapeutics, Inc., or Spark. In connection with these agreements, we received up-front payments of $200,000 from NovaMedica and $500,000 from Spark. We deferred recognizing these payments through 2015. In the first quarter of 2016, we began recognizing revenue related to the NovaMedica payment and we recognized the entire payment from Spark. In the second quarter of 2017, we entered into additional collaboration agreements to evaluate the potential use of our proprietary SCS microinjector with third-party product candidates for the treatment of various diseases. We recognized $150,000 and $275,000 in collaboration revenue from these agreements during the three and nine months ended September 30, 2017,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Since our inception, we have focused on our development programs. Research and development expenses consist primarily of costs incurred for the research and development of our nonclinical and clinical product candidates, which include:</w:t>
      </w:r>
    </w:p>
    <w:p>
      <w:pPr>
        <w:spacing w:after="0" w:line="62"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travel and share-based compensation expense for research and development personnel;</w:t>
      </w:r>
    </w:p>
    <w:p>
      <w:pPr>
        <w:spacing w:after="0" w:line="140" w:lineRule="exact"/>
        <w:rPr>
          <w:rFonts w:ascii="Arial" w:cs="Arial" w:eastAsia="Arial" w:hAnsi="Arial"/>
          <w:sz w:val="16"/>
          <w:szCs w:val="16"/>
          <w:color w:val="auto"/>
        </w:rPr>
      </w:pPr>
    </w:p>
    <w:p>
      <w:pPr>
        <w:ind w:left="1040" w:right="5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as well as contract manufacturing organizations and consultants that conduct clinical trials and nonclinical studies;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nonclinical activities and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for our research and development facility;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jc w:val="both"/>
        <w:ind w:right="260" w:firstLine="518"/>
        <w:spacing w:after="0" w:line="286" w:lineRule="auto"/>
        <w:rPr>
          <w:sz w:val="20"/>
          <w:szCs w:val="20"/>
          <w:color w:val="auto"/>
        </w:rPr>
      </w:pPr>
      <w:r>
        <w:rPr>
          <w:rFonts w:ascii="Arial" w:cs="Arial" w:eastAsia="Arial" w:hAnsi="Arial"/>
          <w:sz w:val="17"/>
          <w:szCs w:val="17"/>
          <w:color w:val="auto"/>
        </w:rPr>
        <w:t>We expense research and development costs to operations as incurred. The costs for some of our development activities, such as clinical trials,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w:t>
      </w:r>
    </w:p>
    <w:p>
      <w:pPr>
        <w:spacing w:after="0" w:line="166"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Expenses related to activities, such as manufacturing and stability and toxicology studies, that are supportive of a product candidate itself, are classified as direct non-clinical costs. Expenses related to clinical trials and similar activities, including costs associated with CROs, are classified as direct clinical costs. Expenses related to activities that support more than one development program or activity, such as salaries, share-based compensation and depreciation, are not classified as direct clinical costs or non-clinical costs and are separately classified as unallocated.</w:t>
      </w:r>
    </w:p>
    <w:p>
      <w:pPr>
        <w:spacing w:after="0" w:line="17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For the three and nine months ended September 30, 2017, substantially all of our research and development expenses were related to the clinical development of our product candidates, consisting of four ongoing clinical trials and a fifth clinical trial for which start-up activities began during the third quarter of 2017.</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8" w:name="page19"/>
    <w:bookmarkEnd w:id="18"/>
    <w:p>
      <w:pPr>
        <w:ind w:right="120" w:firstLine="518"/>
        <w:spacing w:after="0" w:line="277" w:lineRule="auto"/>
        <w:rPr>
          <w:sz w:val="20"/>
          <w:szCs w:val="20"/>
          <w:color w:val="auto"/>
        </w:rPr>
      </w:pPr>
      <w:r>
        <w:rPr>
          <w:rFonts w:ascii="Arial" w:cs="Arial" w:eastAsia="Arial" w:hAnsi="Arial"/>
          <w:sz w:val="18"/>
          <w:szCs w:val="18"/>
          <w:color w:val="auto"/>
        </w:rPr>
        <w:t>The following table shows our research and development expenses by program for the three and nine months ended September 30, 2017 and 2016 (in thousands).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4"/>
          </w:tcPr>
          <w:p>
            <w:pPr>
              <w:jc w:val="right"/>
              <w:ind w:right="191"/>
              <w:spacing w:after="0"/>
              <w:rPr>
                <w:sz w:val="20"/>
                <w:szCs w:val="20"/>
                <w:color w:val="auto"/>
              </w:rPr>
            </w:pPr>
            <w:r>
              <w:rPr>
                <w:rFonts w:ascii="Arial" w:cs="Arial" w:eastAsia="Arial" w:hAnsi="Arial"/>
                <w:sz w:val="16"/>
                <w:szCs w:val="16"/>
                <w:b w:val="1"/>
                <w:bCs w:val="1"/>
                <w:color w:val="auto"/>
                <w:w w:val="97"/>
              </w:rPr>
              <w:t>Three Months Ended</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20" w:type="dxa"/>
            <w:vAlign w:val="bottom"/>
          </w:tcPr>
          <w:p>
            <w:pPr>
              <w:spacing w:after="0"/>
              <w:rPr>
                <w:sz w:val="18"/>
                <w:szCs w:val="18"/>
                <w:color w:val="auto"/>
              </w:rPr>
            </w:pPr>
          </w:p>
        </w:tc>
        <w:tc>
          <w:tcPr>
            <w:tcW w:w="378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top w:val="single" w:sz="8" w:color="auto"/>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2016</w:t>
            </w:r>
          </w:p>
        </w:tc>
        <w:tc>
          <w:tcPr>
            <w:tcW w:w="32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top w:val="single" w:sz="8" w:color="auto"/>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2016</w:t>
            </w:r>
          </w:p>
        </w:tc>
        <w:tc>
          <w:tcPr>
            <w:tcW w:w="80" w:type="dxa"/>
            <w:vAlign w:val="bottom"/>
            <w:tcBorders>
              <w:bottom w:val="single" w:sz="8" w:color="CFF0FC"/>
            </w:tcBorders>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CLS-TA (uveitis program)</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9,534</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CLS-TA (RVO program)</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8,593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16,292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CLS-TA (DME program)</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Wet AMD program</w:t>
            </w:r>
          </w:p>
        </w:tc>
        <w:tc>
          <w:tcPr>
            <w:tcW w:w="8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13,833</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w:t>
            </w:r>
          </w:p>
        </w:tc>
        <w:tc>
          <w:tcPr>
            <w:tcW w:w="8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6,192</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8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16,050</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3,682</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35,118</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 Historically, any such modifications have not been material.</w:t>
      </w:r>
    </w:p>
    <w:p>
      <w:pPr>
        <w:spacing w:after="0" w:line="158"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over the next several years as we progress our product candidates through clinical development. However, it is difficult to determine with certainty the duration and completion costs of our current or future nonclinical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product candidates.</w:t>
      </w:r>
    </w:p>
    <w:p>
      <w:pPr>
        <w:spacing w:after="0" w:line="16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include, but are not limited to, the following:</w:t>
      </w:r>
    </w:p>
    <w:p>
      <w:pPr>
        <w:spacing w:after="0" w:line="62" w:lineRule="exact"/>
        <w:rPr>
          <w:sz w:val="20"/>
          <w:szCs w:val="20"/>
          <w:color w:val="auto"/>
        </w:rPr>
      </w:pPr>
    </w:p>
    <w:p>
      <w:pPr>
        <w:ind w:left="1040" w:right="72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process development, scale-up and manufacturing of CLS-TA and the microinjector for clinical trials and for requirements associated with regulatory filings associated with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trials required for approval and any requirement for extension or additional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of patient follow-up;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efficacy and safety profiles of the product candidates.</w:t>
      </w:r>
    </w:p>
    <w:p>
      <w:pPr>
        <w:spacing w:after="0" w:line="225"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right="580" w:firstLine="518"/>
        <w:spacing w:after="0" w:line="286"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share-based compensation, for personnel in executive, finance and administrative functions. General and administrative costs include facility related costs not otherwise included in research and development expenses, professional fees for legal, patent, consulting, and accounting and audit services.</w:t>
      </w:r>
    </w:p>
    <w:p>
      <w:pPr>
        <w:spacing w:after="0" w:line="166"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We anticipate that our general and administrative expenses will increase in the future to support our continued research and development activities, potential commercialization of our product candidates and increased costs of operating as a public company. These increases will likely include increased costs related to the hiring of additional personnel and fees to outside consultants, lawyers and accountants, among other expenses. Additionally, we anticipate increased costs associated with being a public company including expenses related to services associated with maintaining compliance with NASDAQ listing rules and SEC requirements, director and officer insurance, and investor and public relations costs.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Other income consists of interest income earned on our cash and cash equivalents and short-term investments. Interest income is not considered significant to our financial statements.</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Other expense primarily consists of interest expense under our loan agreements and, for the three and nine months ended September 30, 2016, changes in the value of a liability related to a warrant to purchase preferred stock, which warrant automatically converted into a warrant to purchase common stock in connection with our initial public offering in June 2016. After such conversion, no further income or expense was recognized in connection with changes in the fair value of that warrant, which was subsequently exercised in October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accounting principles generally accepted in the United States of America, or U.S.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During the nine months ended September 30, 2017, there were no significant changes to our critical accounting policies disclosed in our audited financial statements for the year ended December 31, 2016, which are included in our Annual Report on Form 10-K, as filed with the SEC on March 16, 2017.</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 for the Three Months Ended September 30, 2017 and 2016</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three months ended September 30, 2017 and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6"/>
          </w:tcPr>
          <w:p>
            <w:pPr>
              <w:jc w:val="right"/>
              <w:ind w:right="90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6"/>
          </w:tcPr>
          <w:p>
            <w:pPr>
              <w:jc w:val="right"/>
              <w:ind w:right="114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Period-to-Period</w:t>
            </w:r>
          </w:p>
        </w:tc>
      </w:tr>
      <w:tr>
        <w:trPr>
          <w:trHeight w:val="213"/>
        </w:trPr>
        <w:tc>
          <w:tcPr>
            <w:tcW w:w="4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Change</w:t>
            </w:r>
          </w:p>
        </w:tc>
      </w:tr>
      <w:tr>
        <w:trPr>
          <w:trHeight w:val="207"/>
        </w:trPr>
        <w:tc>
          <w:tcPr>
            <w:tcW w:w="4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w w:val="90"/>
              </w:rPr>
              <w:t>(in thousands)</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4640" w:type="dxa"/>
            <w:vAlign w:val="bottom"/>
          </w:tcPr>
          <w:p>
            <w:pPr>
              <w:spacing w:after="0"/>
              <w:rPr>
                <w:sz w:val="20"/>
                <w:szCs w:val="20"/>
                <w:color w:val="auto"/>
              </w:rPr>
            </w:pPr>
            <w:r>
              <w:rPr>
                <w:rFonts w:ascii="Arial" w:cs="Arial" w:eastAsia="Arial" w:hAnsi="Arial"/>
                <w:sz w:val="18"/>
                <w:szCs w:val="18"/>
                <w:color w:val="auto"/>
              </w:rPr>
              <w:t>License and collaboration revenue</w:t>
            </w:r>
          </w:p>
        </w:tc>
        <w:tc>
          <w:tcPr>
            <w:tcW w:w="2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34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12,368</w:t>
            </w: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FF0FC"/>
          </w:tcPr>
          <w:p>
            <w:pPr>
              <w:spacing w:after="0"/>
              <w:rPr>
                <w:sz w:val="19"/>
                <w:szCs w:val="19"/>
                <w:color w:val="auto"/>
              </w:rPr>
            </w:pPr>
          </w:p>
        </w:tc>
      </w:tr>
      <w:tr>
        <w:trPr>
          <w:trHeight w:val="223"/>
        </w:trPr>
        <w:tc>
          <w:tcPr>
            <w:tcW w:w="4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13,037</w:t>
            </w:r>
          </w:p>
        </w:tc>
        <w:tc>
          <w:tcPr>
            <w:tcW w:w="100" w:type="dxa"/>
            <w:vAlign w:val="bottom"/>
            <w:tcBorders>
              <w:bottom w:val="single" w:sz="8" w:color="CFF0FC"/>
            </w:tcBorders>
          </w:tcPr>
          <w:p>
            <w:pPr>
              <w:spacing w:after="0"/>
              <w:rPr>
                <w:sz w:val="19"/>
                <w:szCs w:val="19"/>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(12,887)</w:t>
            </w: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Other expense, net</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r>
      <w:tr>
        <w:trPr>
          <w:trHeight w:val="223"/>
        </w:trPr>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In each of the three months ended September 30, 2017 and 2016, we recognized $5,000 of revenue associated with our agreement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NovaMedica. In the three months ended September 30, 2017, we also recognized $150,000 of revenue associated with our other collaboration agreements.</w:t>
      </w:r>
    </w:p>
    <w:p>
      <w:pPr>
        <w:spacing w:after="0" w:line="124"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expense increased by $12.4 million, from $3.7 million for the three months ended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30, 2016 to $16.1 million for the three months ended September 30, 2017. This was primarily attributable to an increase in costs related to our clinical programs. Costs for our uveitis program increased $1.8 million, costs for our RVO program increased $8.4 million, which included purchases of Eylea for SAPPHIRE and start-up costs for TOPAZ, and costs for our DME program increased $1.9 million. In addition to the increase in the cost of our clinical trials, we also incurred a $0.4 million increase in the cost of producing drug product for the registration batches to support an NDA filing, a $0.2 million increase in other research and development activities and a $0.6 million increase in employee-related costs due to an increase in headcount to support the increased clinical trial activities. These increases were partially offset by a $0.9 million decrease in costs resulting from the discontinuation of nonclinical development under our wet AMD program in the first quarter of 2017.</w:t>
      </w:r>
    </w:p>
    <w:p>
      <w:pPr>
        <w:spacing w:after="0" w:line="179"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increased by $0.7 million, from $1.6 million for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2016 to $2.3 million for the three months ended September 30, 2017.The increase was primarily attributable to an increase of $0.6 million of employee-related costs and an increase of $0.1 million in patent-related expenses.</w:t>
      </w:r>
    </w:p>
    <w:p>
      <w:pPr>
        <w:spacing w:after="0" w:line="181"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i w:val="1"/>
          <w:iCs w:val="1"/>
          <w:color w:val="auto"/>
        </w:rPr>
        <w:t>Other expense, net</w:t>
      </w:r>
      <w:r>
        <w:rPr>
          <w:rFonts w:ascii="Arial" w:cs="Arial" w:eastAsia="Arial" w:hAnsi="Arial"/>
          <w:sz w:val="17"/>
          <w:szCs w:val="17"/>
          <w:color w:val="auto"/>
        </w:rPr>
        <w:t>. Other expense, net for the three months ended September 30, 2017 was $143,000, primarily consisting of interest on long-term</w:t>
      </w:r>
      <w:r>
        <w:rPr>
          <w:rFonts w:ascii="Arial" w:cs="Arial" w:eastAsia="Arial" w:hAnsi="Arial"/>
          <w:sz w:val="17"/>
          <w:szCs w:val="17"/>
          <w:i w:val="1"/>
          <w:iCs w:val="1"/>
          <w:color w:val="auto"/>
        </w:rPr>
        <w:t xml:space="preserve"> </w:t>
      </w:r>
      <w:r>
        <w:rPr>
          <w:rFonts w:ascii="Arial" w:cs="Arial" w:eastAsia="Arial" w:hAnsi="Arial"/>
          <w:sz w:val="17"/>
          <w:szCs w:val="17"/>
          <w:color w:val="auto"/>
        </w:rPr>
        <w:t>debt, the amortization of financing costs, the accretion of warrants and the final payment related to the loan agreements, partially offset by interest income from our short-term investments. Other expense, net for the three months ended September 30, 2016 was $339,000, primarily the result of an increase in the mark-to-market warrant liability and the acceleration of the final payment under our loan agreement.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Nine Months Ended September 30, 2017 and 2016</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nine months ended September 30, 2017 and 2016.</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6"/>
          </w:tcPr>
          <w:p>
            <w:pPr>
              <w:jc w:val="right"/>
              <w:ind w:right="940"/>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6"/>
          </w:tcPr>
          <w:p>
            <w:pPr>
              <w:jc w:val="right"/>
              <w:ind w:right="114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7"/>
              </w:rPr>
              <w:t>Period-to-Period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w w:val="90"/>
              </w:rPr>
              <w:t>(in thousands)</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License and collaboration revenue</w:t>
            </w:r>
          </w:p>
        </w:tc>
        <w:tc>
          <w:tcPr>
            <w:tcW w:w="30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8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Operating expenses:</w:t>
            </w:r>
          </w:p>
        </w:tc>
        <w:tc>
          <w:tcPr>
            <w:tcW w:w="2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7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7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42,377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Loss from operations</w:t>
            </w:r>
          </w:p>
        </w:tc>
        <w:tc>
          <w:tcPr>
            <w:tcW w:w="2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(42,087)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Net loss</w:t>
            </w:r>
          </w:p>
        </w:tc>
        <w:tc>
          <w:tcPr>
            <w:tcW w:w="27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720" w:type="dxa"/>
            <w:vAlign w:val="bottom"/>
            <w:vMerge w:val="restart"/>
          </w:tcPr>
          <w:p>
            <w:pPr>
              <w:jc w:val="right"/>
              <w:ind w:right="890"/>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6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21" w:name="page22"/>
    <w:bookmarkEnd w:id="21"/>
    <w:p>
      <w:pPr>
        <w:ind w:right="140" w:firstLine="518"/>
        <w:spacing w:after="0" w:line="312"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In each of the nine months ended September 30, 2017 and 2016, we recognized $15,000 of revenue associated with our agreement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NovaMedica. In the nine months ended September 30, 2017, we also recognized $275,000 of revenue associated with our other collaboration agreements. In the nine months ended September 30, 2016, we also recognized $0.5 million of revenue associated with our license and collaboration agreement with Spark.</w:t>
      </w:r>
    </w:p>
    <w:p>
      <w:pPr>
        <w:spacing w:after="0" w:line="147"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expense increased by $22.6 million, from $12.5 million for the nine months ended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30, 2016 to $35.1 million for the nine months ended September 30, 2017. This was primarily attributable to an increase in costs related to our clinical programs. Costs for our uveitis program increased $4.2 million, costs for our RVO program increased $14.7 million, which included purchases of Eylea for SAPPHIRE and start-up costs for TOPAZ, and costs for our DME program increased $2.9 million. In addition to the increase in the cost of our clinical trials, we also incurred a $1.3 million increase in the cost of producing drug product for the registration batches to support an NDA filing, a $0.6 million increase in other research and development activities, a $1.7 million increase in employee-related costs due to an increase in headcount to support the increased clinical trial activities and a $0.3 million increase in travel-related costs. These increases were partially offset by a $1.9 million decrease resulting from the completion in 2016 of the Phase 2 clinical trials for CLS-TA and a $2.3 million decrease in costs resulting from the discontinuation of nonclinical development under our wet AMD program in the first quarter of 2017.</w:t>
      </w:r>
    </w:p>
    <w:p>
      <w:pPr>
        <w:spacing w:after="0" w:line="182"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increased by $3.4 million, from $3.9 million for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2016 to $7.3 million for the nine months ended September 30, 2017. The increase was primarily attributable to an increase of $1.7 million of employee-related costs, a $0.3 million increase in patent and trademark costs, a $0.3 million increase for marketing expenses and a $0.7 million increase related to the costs of operating as a public company, including an increase in director and officer insurance premiums, professional fees and non-employee director compensation.</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 Other expense, net for the nine months ended September 30, 2017 was $395,000, compared to $355,000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in each case primarily consisting of interest on long-term debt, the amortization of financing costs, the accretion of warrants and the final payment related to the loan agreements, partially offset by interest income from our short-term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We have funded our operations primarily through the proceeds of public offerings of our common stock, sales of convertible preferred stock and the issuance of long-term debt. As of September 30, 2017, we had cash, cash equivalents and short-term investments of $52.6 million. We invest any cash in excess of our immediate requirements primarily with a view to liquidity and capital preservation. As of September 30, 2017, our funds were held in cash, money market funds, certificates of deposit, commercial paper, corporate bonds, government bonds and treasury bills.</w:t>
      </w:r>
    </w:p>
    <w:p>
      <w:pPr>
        <w:spacing w:after="0" w:line="171" w:lineRule="exact"/>
        <w:rPr>
          <w:sz w:val="20"/>
          <w:szCs w:val="20"/>
          <w:color w:val="auto"/>
        </w:rPr>
      </w:pPr>
    </w:p>
    <w:p>
      <w:pPr>
        <w:jc w:val="both"/>
        <w:ind w:right="220" w:firstLine="518"/>
        <w:spacing w:after="0" w:line="286" w:lineRule="auto"/>
        <w:rPr>
          <w:sz w:val="20"/>
          <w:szCs w:val="20"/>
          <w:color w:val="auto"/>
        </w:rPr>
      </w:pPr>
      <w:r>
        <w:rPr>
          <w:rFonts w:ascii="Arial" w:cs="Arial" w:eastAsia="Arial" w:hAnsi="Arial"/>
          <w:sz w:val="17"/>
          <w:szCs w:val="17"/>
          <w:color w:val="auto"/>
        </w:rPr>
        <w:t>On June 30, 2017, we entered into an at-the-market sales agreement with Cowen and Company LLC, or Cowen, under which we may offer and sell, from time to time at our sole discretion, shares of our common stock having an aggregate offering price of up to $50.0 million through Cowen acting as our sales agent. As of the date of this report, we have not sold any shares of our common stock under the at-the-market facility.</w:t>
      </w:r>
    </w:p>
    <w:p>
      <w:pPr>
        <w:spacing w:after="0" w:line="166"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On September 28, 2016, we entered into an amended and restated loan and security agreement, which we subsequently amended on October 31, 2017, or as amended the Loan Agreement, with Silicon Valley Bank, or SVB, and entities affiliated with MidCap Financial Services, which we refer to collectively with SVB as the Lenders. The Loan Agreement amended and restated in its entirety our prior loan and security agreement with SVB. The Loan Agreement provides for new term loans of up to $15.0 million, with a floating interest rate equal to 7% plus the greater of (i) the 30-day U.S. LIBOR, reported in the Wall Street Journal on the last business day of the month that immediately precedes the month in which the interest will accrue, or (ii) 0.50%. We borrowed an initial tranche of $8.0 million on September 28, 2016, of which $5.3 million was used to repay all amounts outstanding under our prior loan agreement with SVB. The remaining $7.0 million will become available beginning on the date on which the Lenders have received evidence, in form and substance reasonably satisfactory to them, that we have produced clinical trial data sufficient to file an NDA for CLS-TA for the treatment of macular edema associated with non-infectious uveitis. Once the draw period for the remaining $7.0 million has commenced, we may draw funds at our discretion until the earlier of (i) March 31, 2018 and (ii) the occurrence of an event of default under the Loan Agreement. We are required to pay accrued interest only through December 31, 2017 on the outstanding amount, followed by 30 equal payments of principal and accrued interest. We have the option to prepay the outstanding balance of the term loans in full, subject to a prepayment fee of 2% of the original principal amount of the aggregate term loans for any prepayments through May 31, 2020. A final payment of $0.5 million, or 6.50% of the aggregate borrowed amount, is due at maturity of loan on June 1, 2020, or upon the prepayment of the facility or the acceleration of amounts due under the facility as a result of an event of default.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22" w:name="page23"/>
    <w:bookmarkEnd w:id="22"/>
    <w:p>
      <w:pPr>
        <w:ind w:right="440" w:firstLine="518"/>
        <w:spacing w:after="0" w:line="342" w:lineRule="auto"/>
        <w:rPr>
          <w:sz w:val="20"/>
          <w:szCs w:val="20"/>
          <w:color w:val="auto"/>
        </w:rPr>
      </w:pPr>
      <w:r>
        <w:rPr>
          <w:rFonts w:ascii="Arial" w:cs="Arial" w:eastAsia="Arial" w:hAnsi="Arial"/>
          <w:sz w:val="16"/>
          <w:szCs w:val="16"/>
          <w:color w:val="auto"/>
        </w:rPr>
        <w:t>The term loans under the Loan Agreement are secured by substantially all of our assets, except that the collateral does not include any of our intellectual property. However, pursuant to the terms of a negative pledge arrangement, we have agreed not to encumber any of our intellectual property.</w:t>
      </w:r>
    </w:p>
    <w:p>
      <w:pPr>
        <w:spacing w:after="0" w:line="124"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In connection with the Loan Agreement, we issued warrants to the Lenders to purchase up to 29,796 shares of common stock at a price per share of $10.74. The warrants expire in September 2026, or earlier upon the occurrence of specified mergers or acquisitions of our company, and are immediately exercisable.</w:t>
      </w:r>
    </w:p>
    <w:p>
      <w:pPr>
        <w:spacing w:after="0" w:line="18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In connection with the prior loan agreement, we issued a warrant to SVB to purchase 25,974 shares of our convertible preferred stock at an exercise price of $7.70 per share. These warrants were net exercised in October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third-party clinical research and development services, laboratory and related supplies, clinical costs, legal and other regulatory expenses and general overhead costs.</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CLS-TA or any future product candidates, although we will require additional funding to complete our Phase 3 clinical program for CLS-TA as a potential treatment, together with intravitreal Eylea, for RVO. We are also unable to predict when, if ever, material net cash inflows will commence from product sales. This is due to the numerous risks and uncertainties associated with developing drugs, including the uncertainty of:</w:t>
      </w:r>
    </w:p>
    <w:p>
      <w:pPr>
        <w:spacing w:after="0" w:line="80"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launching commercial sales of the products, if and when approved, whether alone or in collaboration with others.</w:t>
      </w:r>
    </w:p>
    <w:p>
      <w:pPr>
        <w:spacing w:after="0" w:line="225"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170"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equity offerings, debt financings and potential collaboration, license and development agreements. We do not currently have any committed external source of funds other than under the Loan Agreement and the at-the-market sales agreement with Cowen.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5"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will also incur costs as a public company that we have not previously incurred or have previously incurred at lower rates, including but not limited to, increased costs and expenses for fees to members of our board of directors, increased personnel costs, increased directors and officers insurance premiums, audit and legal fees, investor relations fees and expenses for compliance with reporting requirements under U.S. securities laws and rules implemented by the SEC and NASDAQ.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1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Based on our research and development plans and our timing expectations related to the progress of our programs, including our ability to control spending by delaying, reducing or eliminating research and development programs or reducing administrative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ind w:right="320"/>
        <w:spacing w:after="0" w:line="277" w:lineRule="auto"/>
        <w:rPr>
          <w:sz w:val="20"/>
          <w:szCs w:val="20"/>
          <w:color w:val="auto"/>
        </w:rPr>
      </w:pPr>
      <w:r>
        <w:rPr>
          <w:rFonts w:ascii="Arial" w:cs="Arial" w:eastAsia="Arial" w:hAnsi="Arial"/>
          <w:sz w:val="18"/>
          <w:szCs w:val="18"/>
          <w:color w:val="auto"/>
        </w:rPr>
        <w:t>expense while still advancing clinical trials for key product candidates, we expect that our existing cash, cash equivalents and short-term investments will enable us to fund our operating expenses and capital expenditure requirements into the fourth quarter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net cash flows provided by (used in) our operating, investing and financing activities (in thousands):</w:t>
      </w:r>
    </w:p>
    <w:p>
      <w:pPr>
        <w:spacing w:after="0" w:line="239" w:lineRule="exact"/>
        <w:rPr>
          <w:sz w:val="20"/>
          <w:szCs w:val="20"/>
          <w:color w:val="auto"/>
        </w:rPr>
      </w:pPr>
    </w:p>
    <w:tbl>
      <w:tblPr>
        <w:tblLayout w:type="fixed"/>
        <w:tblInd w:w="142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6"/>
          </w:tcPr>
          <w:p>
            <w:pPr>
              <w:jc w:val="right"/>
              <w:ind w:right="80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4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4300" w:type="dxa"/>
            <w:vAlign w:val="bottom"/>
            <w:tcBorders>
              <w:bottom w:val="single" w:sz="8" w:color="CFF0FC"/>
            </w:tcBorders>
          </w:tcPr>
          <w:p>
            <w:pPr>
              <w:spacing w:after="0"/>
              <w:rPr>
                <w:sz w:val="18"/>
                <w:szCs w:val="18"/>
                <w:color w:val="auto"/>
              </w:rPr>
            </w:pPr>
          </w:p>
        </w:tc>
        <w:tc>
          <w:tcPr>
            <w:tcW w:w="14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2016</w:t>
            </w:r>
          </w:p>
        </w:tc>
        <w:tc>
          <w:tcPr>
            <w:tcW w:w="80" w:type="dxa"/>
            <w:vAlign w:val="bottom"/>
            <w:tcBorders>
              <w:bottom w:val="single" w:sz="8" w:color="CFF0FC"/>
            </w:tcBorders>
          </w:tcPr>
          <w:p>
            <w:pPr>
              <w:spacing w:after="0"/>
              <w:rPr>
                <w:sz w:val="18"/>
                <w:szCs w:val="18"/>
                <w:color w:val="auto"/>
              </w:rPr>
            </w:pPr>
          </w:p>
        </w:tc>
      </w:tr>
      <w:tr>
        <w:trPr>
          <w:trHeight w:val="226"/>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6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(35,990)</w:t>
            </w:r>
          </w:p>
        </w:tc>
        <w:tc>
          <w:tcPr>
            <w:tcW w:w="5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(16,253)</w:t>
            </w: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(20,068)</w:t>
            </w:r>
          </w:p>
        </w:tc>
      </w:tr>
      <w:tr>
        <w:trPr>
          <w:trHeight w:val="230"/>
        </w:trPr>
        <w:tc>
          <w:tcPr>
            <w:tcW w:w="4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14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52,914</w:t>
            </w:r>
          </w:p>
        </w:tc>
        <w:tc>
          <w:tcPr>
            <w:tcW w:w="80" w:type="dxa"/>
            <w:vAlign w:val="bottom"/>
            <w:tcBorders>
              <w:bottom w:val="single" w:sz="8" w:color="CFF0FC"/>
            </w:tcBorders>
          </w:tcPr>
          <w:p>
            <w:pPr>
              <w:spacing w:after="0"/>
              <w:rPr>
                <w:sz w:val="19"/>
                <w:szCs w:val="19"/>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14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(18,535)</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During the nine months ended September 30, 2017 and 2016, our operating activities used net cash of $36.0 million and $16.3 million, respectively. The use of cash in each period primarily resulted from our net losses. The increase in net loss for the nine months ended September 30, 2017 as compared to the nine months ended September 30, 2016 was primarily attributable to the higher research and development expenses described above.</w:t>
      </w:r>
    </w:p>
    <w:p>
      <w:pPr>
        <w:spacing w:after="0" w:line="14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During the nine months ended September 30, 2017, our net cash provided by investing activities was $12.2 million, compared to net cash used in investing activities of $20.1 million for the prior year period. In each period, cash flows from investing activities related primarily to purchases and maturities of short-term, available-for-sale investments.</w:t>
      </w:r>
    </w:p>
    <w:p>
      <w:pPr>
        <w:spacing w:after="0" w:line="18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During the nine months ended September 30, 2017 and 2016, our net cash provided by financing activities was $5.3 million and $52.9 million, respectively. The net cash provided by financing for the nine months ended September 30, 2017 was primarily comprised of the net proceeds received from the underwriters’ exercise of their option to purchase additional shares as part of our public offering of common stock that initially closed in December 2016. During the nine months ended September 30, 2016, our net cash provided by financing activities consisted of $51.4 million in net proceeds from our initial public offering and the borrowing of the initial tranche under the Loan Agreement, partially offset by the repayment in full of all amounts owed under the prior loan agreement with SVB.</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As of September 30, 2017, there were no significant changes to our contractual obligations from those presented as of December 31, 2016 in our Annual Report on Form 10-K.</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We have no material non-cancelable purchase commitments with contract manufactures or service providers, as we have generally contracted on a cancelable purchase order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Item 1, “Financial Statements – Note 2, Significant Accounting Policies” for a discussion of recent accounting pronouncements and their effect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market risk inherent in our financial instruments and in our financial position represents the potential loss arising from adverse changes in interest rates. As of September 30, 2017 and December 31, 2016, we had cash and cash equivalents of $16.3 million and $34.8 million, respectively. We generally hold our cash in interest-bearing money market accounts. As of September 30, 2017 and December 31, 2016, we had short-term investments of $36.3 million and $48.8 million, respectively. The short-term investments included certificates of deposit, commercial paper, corporate bonds, government bonds and treasury bills. Our primary exposure to market risk is interest rate sensitivity, which is affected by changes in the general level of U.S. interest rates. Due to the short-term maturities of our cash equivalents and short-term investments and the low risk profile of our investments, an immediate 100 basis point change in interest rates would not have a material effect on the fair market value of our cash equivalents and short-term investments.</w:t>
      </w:r>
    </w:p>
    <w:p>
      <w:pPr>
        <w:spacing w:after="0" w:line="16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We do not engage in any hedging activities against changes in interest rates. Our outstanding debt instruments carry a floating interest rate that is 7.0% plus the greater of (i) the 30-day U.S. LIBOR, reported in the Wall Street Journal on the last business day of the month that immediately precedes the month in which the interest will accrue, or (ii) 0.50%. We estimate that a one percentage point increase in the prime rate would have resulted in a $60,000 and $80,000 increase in interest expense for the nine months ended September 30, 2017 and the year ended December 31, 2016, respectively.</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foreign currency or other derivative financial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93"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67" w:lineRule="exact"/>
        <w:rPr>
          <w:sz w:val="20"/>
          <w:szCs w:val="20"/>
          <w:color w:val="auto"/>
        </w:rPr>
      </w:pPr>
    </w:p>
    <w:p>
      <w:pPr>
        <w:jc w:val="both"/>
        <w:ind w:right="120" w:firstLine="518"/>
        <w:spacing w:after="0" w:line="312"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of the end of the period covered by this report. Based on that evaluation, our Chief Executive Officer and Chief Financial Officer concluded that our disclosure controls and procedures were effective as of the end of the period covered by this report at the reasonable assurance level.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September 30, 2017 that has materially affected, or is reasonably likely to materially affect, our internal control over financial reporting.</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2016, filed with the Securities and Exchange Commission on March 16, 2017. There have been no material changes to the risk factors described in that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right="8560" w:hanging="512"/>
        <w:spacing w:after="0" w:line="402" w:lineRule="auto"/>
        <w:tabs>
          <w:tab w:leader="none" w:pos="51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Sales of Unregistered Securities </w:t>
      </w:r>
      <w:r>
        <w:rPr>
          <w:rFonts w:ascii="Arial" w:cs="Arial" w:eastAsia="Arial" w:hAnsi="Arial"/>
          <w:sz w:val="18"/>
          <w:szCs w:val="18"/>
          <w:color w:val="auto"/>
        </w:rPr>
        <w:t>None.</w:t>
      </w:r>
    </w:p>
    <w:p>
      <w:pPr>
        <w:spacing w:after="0" w:line="62" w:lineRule="exact"/>
        <w:rPr>
          <w:rFonts w:ascii="Arial" w:cs="Arial" w:eastAsia="Arial" w:hAnsi="Arial"/>
          <w:sz w:val="18"/>
          <w:szCs w:val="18"/>
          <w:i w:val="1"/>
          <w:iCs w:val="1"/>
          <w:color w:val="auto"/>
        </w:rPr>
      </w:pPr>
    </w:p>
    <w:p>
      <w:pPr>
        <w:ind w:left="520" w:hanging="512"/>
        <w:spacing w:after="0"/>
        <w:tabs>
          <w:tab w:leader="none" w:pos="5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Use of IPO Proceeds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On June 1, 2016, our registration statement on Form S-1, as amended (File No 333-208916) was declared effective by the SEC in connection with our initial public offering, or IPO, pursuant to which we sold 8,148,843 shares of common stock, $0.001 par value per share at a public offering price of $7.00 per share, including the partial exercise by the underwriters of their option to purchase additional shares.</w:t>
      </w:r>
    </w:p>
    <w:p>
      <w:pPr>
        <w:spacing w:after="0" w:line="181"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We received net proceeds of $51.4 million, after deducting underwriting discounts and commissions and offering expenses borne by us. None of the expenses incurred by us were direct or indirect payments to any of (i) our directors or officers or their associates, (ii) persons owning 10 percent or more of our common stock, or (iii) our affiliates. The joint managing underwriters of the IPO were Cowen and Company, LLC and Stifel, Nicolaus &amp; Company, Incorporated.</w:t>
      </w:r>
    </w:p>
    <w:p>
      <w:pPr>
        <w:spacing w:after="0" w:line="187" w:lineRule="exact"/>
        <w:rPr>
          <w:sz w:val="20"/>
          <w:szCs w:val="20"/>
          <w:color w:val="auto"/>
        </w:rPr>
      </w:pPr>
    </w:p>
    <w:p>
      <w:pPr>
        <w:jc w:val="both"/>
        <w:ind w:right="380" w:firstLine="518"/>
        <w:spacing w:after="0" w:line="264" w:lineRule="auto"/>
        <w:rPr>
          <w:sz w:val="20"/>
          <w:szCs w:val="20"/>
          <w:color w:val="auto"/>
        </w:rPr>
      </w:pPr>
      <w:r>
        <w:rPr>
          <w:rFonts w:ascii="Arial" w:cs="Arial" w:eastAsia="Arial" w:hAnsi="Arial"/>
          <w:sz w:val="18"/>
          <w:szCs w:val="18"/>
          <w:color w:val="auto"/>
        </w:rPr>
        <w:t>There has been no material change in the planned use of proceeds from our IPO from that described in the final prospectus related to the offering, dated June 1, 2016, as filed with the SEC, except that we no longer expect to use the proceeds from our IPO to prepare an IND and complete a Phase 1/2 clinical trial for our wet AMD program.</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40" w:type="dxa"/>
            <w:vAlign w:val="bottom"/>
            <w:gridSpan w:val="14"/>
          </w:tcPr>
          <w:p>
            <w:pPr>
              <w:spacing w:after="0"/>
              <w:rPr>
                <w:sz w:val="20"/>
                <w:szCs w:val="20"/>
                <w:color w:val="auto"/>
              </w:rPr>
            </w:pPr>
            <w:r>
              <w:rPr>
                <w:rFonts w:ascii="Arial" w:cs="Arial" w:eastAsia="Arial" w:hAnsi="Arial"/>
                <w:sz w:val="18"/>
                <w:szCs w:val="18"/>
                <w:color w:val="auto"/>
              </w:rPr>
              <w:t>Description</w:t>
            </w:r>
          </w:p>
        </w:tc>
      </w:tr>
      <w:tr>
        <w:trPr>
          <w:trHeight w:val="291"/>
        </w:trPr>
        <w:tc>
          <w:tcPr>
            <w:tcW w:w="11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040" w:type="dxa"/>
            <w:vAlign w:val="bottom"/>
            <w:tcBorders>
              <w:top w:val="single" w:sz="8" w:color="auto"/>
            </w:tcBorders>
            <w:gridSpan w:val="14"/>
          </w:tcPr>
          <w:p>
            <w:pPr>
              <w:spacing w:after="0"/>
              <w:rPr>
                <w:rFonts w:ascii="Arial" w:cs="Arial" w:eastAsia="Arial" w:hAnsi="Arial"/>
                <w:sz w:val="18"/>
                <w:szCs w:val="18"/>
                <w:color w:val="0000EE"/>
                <w:w w:val="92"/>
              </w:rPr>
            </w:pPr>
            <w:hyperlink r:id="rId48">
              <w:r>
                <w:rPr>
                  <w:rFonts w:ascii="Arial" w:cs="Arial" w:eastAsia="Arial" w:hAnsi="Arial"/>
                  <w:sz w:val="18"/>
                  <w:szCs w:val="18"/>
                  <w:color w:val="0000EE"/>
                  <w:w w:val="92"/>
                </w:rPr>
                <w:t>Amended and Restated Certificate of Incorporation (incorporated herein by reference to Exhibit 3.1 to the Registrant’s Current Report on</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Form 8-K (File No. 001-37783) filed with the SEC on June 7, 2016).</w:t>
              </w:r>
            </w:hyperlink>
          </w:p>
        </w:tc>
        <w:tc>
          <w:tcPr>
            <w:tcW w:w="4900" w:type="dxa"/>
            <w:vAlign w:val="bottom"/>
            <w:tcBorders>
              <w:top w:val="single" w:sz="8" w:color="0000EE"/>
            </w:tcBorders>
            <w:gridSpan w:val="7"/>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331"/>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9920" w:type="dxa"/>
            <w:vAlign w:val="bottom"/>
            <w:tcBorders>
              <w:bottom w:val="single" w:sz="8" w:color="0000EE"/>
            </w:tcBorders>
            <w:gridSpan w:val="13"/>
          </w:tcPr>
          <w:p>
            <w:pPr>
              <w:spacing w:after="0"/>
              <w:rPr>
                <w:rFonts w:ascii="Arial" w:cs="Arial" w:eastAsia="Arial" w:hAnsi="Arial"/>
                <w:sz w:val="18"/>
                <w:szCs w:val="18"/>
                <w:color w:val="0000EE"/>
                <w:w w:val="91"/>
              </w:rPr>
            </w:pPr>
            <w:hyperlink r:id="rId49">
              <w:r>
                <w:rPr>
                  <w:rFonts w:ascii="Arial" w:cs="Arial" w:eastAsia="Arial" w:hAnsi="Arial"/>
                  <w:sz w:val="18"/>
                  <w:szCs w:val="18"/>
                  <w:color w:val="0000EE"/>
                  <w:w w:val="91"/>
                </w:rPr>
                <w:t>Amended and Restated Bylaws (incorporated herein by reference to Exhibit 3.2 to the Registrant’s Current Report on Form 8-K (File No.</w:t>
              </w:r>
            </w:hyperlink>
          </w:p>
        </w:tc>
        <w:tc>
          <w:tcPr>
            <w:tcW w:w="1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001-37783) filed with the SEC on June 7, 2016).</w:t>
              </w:r>
            </w:hyperlink>
          </w:p>
        </w:tc>
        <w:tc>
          <w:tcPr>
            <w:tcW w:w="6520" w:type="dxa"/>
            <w:vAlign w:val="bottom"/>
            <w:gridSpan w:val="11"/>
          </w:tcPr>
          <w:p>
            <w:pPr>
              <w:spacing w:after="0"/>
              <w:rPr>
                <w:sz w:val="17"/>
                <w:szCs w:val="17"/>
                <w:color w:val="auto"/>
              </w:rPr>
            </w:pPr>
          </w:p>
        </w:tc>
      </w:tr>
      <w:tr>
        <w:trPr>
          <w:trHeight w:val="331"/>
        </w:trPr>
        <w:tc>
          <w:tcPr>
            <w:tcW w:w="1160" w:type="dxa"/>
            <w:vAlign w:val="bottom"/>
          </w:tcPr>
          <w:p>
            <w:pPr>
              <w:jc w:val="right"/>
              <w:ind w:right="57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Amended and Restated Executive Employment Agreement, by and between Clearside Biomedical, Inc. and Daniel H. White, dated as of</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August 3, 2017.</w:t>
              </w:r>
            </w:hyperlink>
          </w:p>
        </w:tc>
        <w:tc>
          <w:tcPr>
            <w:tcW w:w="8680" w:type="dxa"/>
            <w:vAlign w:val="bottom"/>
            <w:tcBorders>
              <w:top w:val="single" w:sz="8" w:color="0000EE"/>
            </w:tcBorders>
            <w:gridSpan w:val="9"/>
          </w:tcPr>
          <w:p>
            <w:pPr>
              <w:spacing w:after="0"/>
              <w:rPr>
                <w:sz w:val="17"/>
                <w:szCs w:val="17"/>
                <w:color w:val="auto"/>
              </w:rPr>
            </w:pPr>
          </w:p>
        </w:tc>
        <w:tc>
          <w:tcPr>
            <w:tcW w:w="200" w:type="dxa"/>
            <w:vAlign w:val="bottom"/>
            <w:gridSpan w:val="4"/>
          </w:tcPr>
          <w:p>
            <w:pPr>
              <w:spacing w:after="0"/>
              <w:rPr>
                <w:sz w:val="17"/>
                <w:szCs w:val="17"/>
                <w:color w:val="auto"/>
              </w:rPr>
            </w:pPr>
          </w:p>
        </w:tc>
      </w:tr>
      <w:tr>
        <w:trPr>
          <w:trHeight w:val="318"/>
        </w:trPr>
        <w:tc>
          <w:tcPr>
            <w:tcW w:w="1160" w:type="dxa"/>
            <w:vAlign w:val="bottom"/>
          </w:tcPr>
          <w:p>
            <w:pPr>
              <w:jc w:val="right"/>
              <w:ind w:right="57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99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Amended and Restated Executive Employment Agreement, by and between Clearside Biomedical, Inc. and Charles A. Deignan, dated as</w:t>
              </w:r>
            </w:hyperlink>
          </w:p>
        </w:tc>
        <w:tc>
          <w:tcPr>
            <w:tcW w:w="14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of August 3, 2017.</w:t>
              </w:r>
            </w:hyperlink>
          </w:p>
        </w:tc>
        <w:tc>
          <w:tcPr>
            <w:tcW w:w="8680" w:type="dxa"/>
            <w:vAlign w:val="bottom"/>
            <w:gridSpan w:val="12"/>
          </w:tcPr>
          <w:p>
            <w:pPr>
              <w:spacing w:after="0"/>
              <w:rPr>
                <w:sz w:val="17"/>
                <w:szCs w:val="17"/>
                <w:color w:val="auto"/>
              </w:rPr>
            </w:pPr>
          </w:p>
        </w:tc>
      </w:tr>
      <w:tr>
        <w:trPr>
          <w:trHeight w:val="318"/>
        </w:trPr>
        <w:tc>
          <w:tcPr>
            <w:tcW w:w="1160" w:type="dxa"/>
            <w:vAlign w:val="bottom"/>
          </w:tcPr>
          <w:p>
            <w:pPr>
              <w:jc w:val="right"/>
              <w:ind w:right="57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97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Amended and Restated Executive Employment Agreement, by and between Clearside Biomedical, Inc. and Glenn Noronha, dated as of</w:t>
              </w:r>
            </w:hyperlink>
          </w:p>
        </w:tc>
        <w:tc>
          <w:tcPr>
            <w:tcW w:w="260" w:type="dxa"/>
            <w:vAlign w:val="bottom"/>
            <w:gridSpan w:val="5"/>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August 3, 2017.</w:t>
              </w:r>
            </w:hyperlink>
          </w:p>
        </w:tc>
        <w:tc>
          <w:tcPr>
            <w:tcW w:w="8880" w:type="dxa"/>
            <w:vAlign w:val="bottom"/>
            <w:gridSpan w:val="13"/>
          </w:tcPr>
          <w:p>
            <w:pPr>
              <w:spacing w:after="0"/>
              <w:rPr>
                <w:sz w:val="17"/>
                <w:szCs w:val="17"/>
                <w:color w:val="auto"/>
              </w:rPr>
            </w:pPr>
          </w:p>
        </w:tc>
      </w:tr>
      <w:tr>
        <w:trPr>
          <w:trHeight w:val="318"/>
        </w:trPr>
        <w:tc>
          <w:tcPr>
            <w:tcW w:w="1160" w:type="dxa"/>
            <w:vAlign w:val="bottom"/>
          </w:tcPr>
          <w:p>
            <w:pPr>
              <w:jc w:val="right"/>
              <w:ind w:right="57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Amended and Restated Non-Employee Director Compensation Policy.</w:t>
              </w:r>
            </w:hyperlink>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80" w:type="dxa"/>
            <w:vAlign w:val="bottom"/>
            <w:gridSpan w:val="5"/>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r>
      <w:tr>
        <w:trPr>
          <w:trHeight w:val="318"/>
        </w:trPr>
        <w:tc>
          <w:tcPr>
            <w:tcW w:w="1160" w:type="dxa"/>
            <w:vAlign w:val="bottom"/>
          </w:tcPr>
          <w:p>
            <w:pPr>
              <w:jc w:val="right"/>
              <w:ind w:right="57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Certification of Principal Executive Officer under Section 302 of the Sarbanes-Oxley Act.</w:t>
              </w:r>
            </w:hyperlink>
          </w:p>
        </w:tc>
      </w:tr>
      <w:tr>
        <w:trPr>
          <w:trHeight w:val="358"/>
        </w:trPr>
        <w:tc>
          <w:tcPr>
            <w:tcW w:w="1160" w:type="dxa"/>
            <w:vAlign w:val="bottom"/>
          </w:tcPr>
          <w:p>
            <w:pPr>
              <w:jc w:val="right"/>
              <w:ind w:right="57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6480" w:type="dxa"/>
            <w:vAlign w:val="bottom"/>
            <w:tcBorders>
              <w:top w:val="single" w:sz="8" w:color="0000EE"/>
            </w:tcBorders>
            <w:gridSpan w:val="7"/>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Certification of Principal Financial Officer under Section 302 of the Sarbanes-Oxley Act.</w:t>
              </w:r>
            </w:hyperlink>
          </w:p>
        </w:tc>
        <w:tc>
          <w:tcPr>
            <w:tcW w:w="3560" w:type="dxa"/>
            <w:vAlign w:val="bottom"/>
            <w:gridSpan w:val="7"/>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40" w:type="dxa"/>
            <w:vAlign w:val="bottom"/>
            <w:gridSpan w:val="6"/>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r>
      <w:tr>
        <w:trPr>
          <w:trHeight w:val="318"/>
        </w:trPr>
        <w:tc>
          <w:tcPr>
            <w:tcW w:w="1160" w:type="dxa"/>
            <w:vAlign w:val="bottom"/>
          </w:tcPr>
          <w:p>
            <w:pPr>
              <w:jc w:val="right"/>
              <w:ind w:right="47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884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66">
              <w:r>
                <w:rPr>
                  <w:rFonts w:ascii="Arial" w:cs="Arial" w:eastAsia="Arial" w:hAnsi="Arial"/>
                  <w:sz w:val="18"/>
                  <w:szCs w:val="18"/>
                  <w:color w:val="0000EE"/>
                  <w:w w:val="92"/>
                </w:rPr>
                <w:t>Certifications of Principal Executive Officer and Principal Financial Officer under Section 906 of the Sarbanes-Oxley Act.</w:t>
              </w:r>
            </w:hyperlink>
          </w:p>
        </w:tc>
        <w:tc>
          <w:tcPr>
            <w:tcW w:w="1200" w:type="dxa"/>
            <w:vAlign w:val="bottom"/>
            <w:gridSpan w:val="6"/>
          </w:tcPr>
          <w:p>
            <w:pPr>
              <w:spacing w:after="0"/>
              <w:rPr>
                <w:sz w:val="24"/>
                <w:szCs w:val="24"/>
                <w:color w:val="auto"/>
              </w:rPr>
            </w:pPr>
          </w:p>
        </w:tc>
      </w:tr>
      <w:tr>
        <w:trPr>
          <w:trHeight w:val="358"/>
        </w:trPr>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right="500" w:hanging="512"/>
        <w:spacing w:after="0" w:line="277"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Clearside Biomedical, Inc.</w:t>
      </w:r>
    </w:p>
    <w:p>
      <w:pPr>
        <w:sectPr>
          <w:pgSz w:w="11900" w:h="16838" w:orient="portrait"/>
          <w:cols w:equalWidth="0" w:num="1">
            <w:col w:w="10800"/>
          </w:cols>
          <w:pgMar w:left="240" w:top="337" w:right="85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9, 2017</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29210</wp:posOffset>
            </wp:positionV>
            <wp:extent cx="2675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3">
            <w:col w:w="6140" w:space="720"/>
            <w:col w:w="900" w:space="720"/>
            <w:col w:w="2320"/>
          </w:cols>
          <w:pgMar w:left="240" w:top="337" w:right="859" w:bottom="1440" w:gutter="0" w:footer="0" w:header="0"/>
          <w:type w:val="continuous"/>
        </w:sectPr>
      </w:pPr>
    </w:p>
    <w:p>
      <w:pPr>
        <w:jc w:val="center"/>
        <w:ind w:left="7180"/>
        <w:spacing w:after="0"/>
        <w:rPr>
          <w:sz w:val="20"/>
          <w:szCs w:val="20"/>
          <w:color w:val="auto"/>
        </w:rPr>
      </w:pPr>
      <w:r>
        <w:rPr>
          <w:rFonts w:ascii="Arial" w:cs="Arial" w:eastAsia="Arial" w:hAnsi="Arial"/>
          <w:sz w:val="18"/>
          <w:szCs w:val="18"/>
          <w:color w:val="auto"/>
        </w:rPr>
        <w:t>Charles A. Deignan</w:t>
      </w:r>
    </w:p>
    <w:p>
      <w:pPr>
        <w:spacing w:after="0" w:line="2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8020"/>
        <w:spacing w:after="0"/>
        <w:rPr>
          <w:sz w:val="20"/>
          <w:szCs w:val="20"/>
          <w:color w:val="auto"/>
        </w:rPr>
      </w:pPr>
      <w:r>
        <w:rPr>
          <w:rFonts w:ascii="Arial" w:cs="Arial" w:eastAsia="Arial" w:hAnsi="Arial"/>
          <w:sz w:val="16"/>
          <w:szCs w:val="16"/>
          <w:color w:val="auto"/>
        </w:rPr>
        <w:t>(On behalf of the Registrant and as</w:t>
      </w:r>
    </w:p>
    <w:p>
      <w:pPr>
        <w:spacing w:after="0" w:line="46"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00"/>
          </w:cols>
          <w:pgMar w:left="240" w:top="337" w:right="859" w:bottom="1440" w:gutter="0" w:footer="0" w:header="0"/>
          <w:type w:val="continuous"/>
        </w:sectPr>
      </w:pPr>
    </w:p>
    <w:bookmarkStart w:id="28" w:name="page29"/>
    <w:bookmarkEnd w:id="28"/>
    <w:p>
      <w:pPr>
        <w:ind w:left="10360"/>
        <w:spacing w:after="0"/>
        <w:rPr>
          <w:sz w:val="20"/>
          <w:szCs w:val="20"/>
          <w:color w:val="auto"/>
        </w:rPr>
      </w:pPr>
      <w:r>
        <w:rPr>
          <w:rFonts w:ascii="Arial" w:cs="Arial" w:eastAsia="Arial" w:hAnsi="Arial"/>
          <w:sz w:val="19"/>
          <w:szCs w:val="19"/>
          <w:color w:val="auto"/>
        </w:rPr>
        <w:t>Exhibit 10.1</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EXECUTIVE EMPLOYMENT AGREEMENT</w:t>
      </w:r>
    </w:p>
    <w:p>
      <w:pPr>
        <w:spacing w:after="0" w:line="182"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color w:val="auto"/>
        </w:rPr>
        <w:t>THIS AMENDED AND RESTATED EXECUTIVE EMPLOYMENT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effective as of August 3, 2017,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Clearside Biomedical,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Daniel H. White (the “</w:t>
      </w:r>
      <w:r>
        <w:rPr>
          <w:rFonts w:ascii="Arial" w:cs="Arial" w:eastAsia="Arial" w:hAnsi="Arial"/>
          <w:sz w:val="22"/>
          <w:szCs w:val="22"/>
          <w:b w:val="1"/>
          <w:bCs w:val="1"/>
          <w:color w:val="auto"/>
        </w:rPr>
        <w:t>Executive</w:t>
      </w:r>
      <w:r>
        <w:rPr>
          <w:rFonts w:ascii="Arial" w:cs="Arial" w:eastAsia="Arial" w:hAnsi="Arial"/>
          <w:sz w:val="22"/>
          <w:szCs w:val="22"/>
          <w:color w:val="auto"/>
        </w:rPr>
        <w:t>”), an individual residing in Georgia.</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 I T N E S S E T H:</w:t>
      </w:r>
    </w:p>
    <w:p>
      <w:pPr>
        <w:spacing w:after="0" w:line="20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WHEREAS, the Company and Executive are parties to an Amended and Restated Executive Employment Agreement effective as of January 1, 2015 (the “</w:t>
      </w:r>
      <w:r>
        <w:rPr>
          <w:rFonts w:ascii="Arial" w:cs="Arial" w:eastAsia="Arial" w:hAnsi="Arial"/>
          <w:sz w:val="22"/>
          <w:szCs w:val="22"/>
          <w:b w:val="1"/>
          <w:bCs w:val="1"/>
          <w:color w:val="auto"/>
        </w:rPr>
        <w:t>Original Agreement</w:t>
      </w:r>
      <w:r>
        <w:rPr>
          <w:rFonts w:ascii="Arial" w:cs="Arial" w:eastAsia="Arial" w:hAnsi="Arial"/>
          <w:sz w:val="22"/>
          <w:szCs w:val="22"/>
          <w:color w:val="auto"/>
        </w:rPr>
        <w:t>”);</w:t>
      </w:r>
    </w:p>
    <w:p>
      <w:pPr>
        <w:spacing w:after="0" w:line="173"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WHEREAS, the Company and Executive desire to amend and restated the Original Agreement upon the terms and conditions of this Agreement to set forth the terms and conditions of the Executive’s continued employment from and after the Effective Date.</w:t>
      </w:r>
    </w:p>
    <w:p>
      <w:pPr>
        <w:spacing w:after="0" w:line="186"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NOW, THEREFORE, in consideration of the foregoing, of the mutual promises herein, and of other good and valuable consideration, including the continued employment of the Executive by the Company and the compensation to be received by the Executive from the Company from time to time, and specifically the compensation to be received by the Executive pursuant to Section 4 hereof, the receipt and sufficiency of which are hereby acknowledged, the parties hereto, intending legally to be bound, hereby agree as follows:</w:t>
      </w:r>
    </w:p>
    <w:p>
      <w:pPr>
        <w:spacing w:after="0" w:line="188" w:lineRule="exact"/>
        <w:rPr>
          <w:sz w:val="20"/>
          <w:szCs w:val="20"/>
          <w:color w:val="auto"/>
        </w:rPr>
      </w:pPr>
    </w:p>
    <w:p>
      <w:pPr>
        <w:ind w:firstLine="885"/>
        <w:spacing w:after="0" w:line="328" w:lineRule="auto"/>
        <w:tabs>
          <w:tab w:leader="none" w:pos="1682"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Employment</w:t>
      </w:r>
      <w:r>
        <w:rPr>
          <w:rFonts w:ascii="Arial" w:cs="Arial" w:eastAsia="Arial" w:hAnsi="Arial"/>
          <w:sz w:val="19"/>
          <w:szCs w:val="19"/>
          <w:color w:val="auto"/>
        </w:rPr>
        <w:t>. The Company hereby employs the Executive and the Executive hereby accepts employment as the President and Chief Executive Officer of the Company upon the terms and conditions of this Agreement.</w:t>
      </w:r>
    </w:p>
    <w:p>
      <w:pPr>
        <w:spacing w:after="0" w:line="105" w:lineRule="exact"/>
        <w:rPr>
          <w:rFonts w:ascii="Arial" w:cs="Arial" w:eastAsia="Arial" w:hAnsi="Arial"/>
          <w:sz w:val="19"/>
          <w:szCs w:val="19"/>
          <w:color w:val="auto"/>
        </w:rPr>
      </w:pPr>
    </w:p>
    <w:p>
      <w:pPr>
        <w:jc w:val="both"/>
        <w:ind w:firstLine="885"/>
        <w:spacing w:after="0" w:line="273" w:lineRule="auto"/>
        <w:tabs>
          <w:tab w:leader="none" w:pos="1682"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Duties</w:t>
      </w:r>
      <w:r>
        <w:rPr>
          <w:rFonts w:ascii="Arial" w:cs="Arial" w:eastAsia="Arial" w:hAnsi="Arial"/>
          <w:sz w:val="19"/>
          <w:szCs w:val="19"/>
          <w:color w:val="auto"/>
        </w:rPr>
        <w:t>. The Executive shall faithfully perform all duties of the Company related to the position or positions held by the Executive, including but not limited to all duties set forth in this Agreement and/or in the Bylaws of the Company related to the position or positions held by the Executive and all additional duties that are prescribed from time to time by the Board of Directors of the Company (the “</w:t>
      </w:r>
      <w:r>
        <w:rPr>
          <w:rFonts w:ascii="Arial" w:cs="Arial" w:eastAsia="Arial" w:hAnsi="Arial"/>
          <w:sz w:val="19"/>
          <w:szCs w:val="19"/>
          <w:b w:val="1"/>
          <w:bCs w:val="1"/>
          <w:color w:val="auto"/>
        </w:rPr>
        <w:t>Board</w:t>
      </w:r>
      <w:r>
        <w:rPr>
          <w:rFonts w:ascii="Arial" w:cs="Arial" w:eastAsia="Arial" w:hAnsi="Arial"/>
          <w:sz w:val="19"/>
          <w:szCs w:val="19"/>
          <w:color w:val="auto"/>
        </w:rPr>
        <w:t>”) of the Company. The Executive shall devote the Executive’s full time and attention to the performance of the Executive’s duties and responsibilities on behalf of the Company and in furtherance of its best interests; provided, however, that the Executive, subject to the Executive’s obligations hereunder, shall also be permitted to make personal investments, perform reasonable volunteer services and, with the prior consent of the Company, serve on outside boards of directors for non-profit corporations. The Executive shall comply with all Company policies, standards, rules and regulations (the “</w:t>
      </w:r>
      <w:r>
        <w:rPr>
          <w:rFonts w:ascii="Arial" w:cs="Arial" w:eastAsia="Arial" w:hAnsi="Arial"/>
          <w:sz w:val="19"/>
          <w:szCs w:val="19"/>
          <w:b w:val="1"/>
          <w:bCs w:val="1"/>
          <w:color w:val="auto"/>
        </w:rPr>
        <w:t>Company Policies</w:t>
      </w:r>
      <w:r>
        <w:rPr>
          <w:rFonts w:ascii="Arial" w:cs="Arial" w:eastAsia="Arial" w:hAnsi="Arial"/>
          <w:sz w:val="19"/>
          <w:szCs w:val="19"/>
          <w:color w:val="auto"/>
        </w:rPr>
        <w:t>”) and all applicable government laws, rules and regulations that are now or hereafter in effect. The Executive acknowledges receipt of copies of all written Company Policies that are in effect as of the date of this Agreement.</w:t>
      </w:r>
    </w:p>
    <w:p>
      <w:pPr>
        <w:spacing w:after="0" w:line="161" w:lineRule="exact"/>
        <w:rPr>
          <w:rFonts w:ascii="Arial" w:cs="Arial" w:eastAsia="Arial" w:hAnsi="Arial"/>
          <w:sz w:val="19"/>
          <w:szCs w:val="19"/>
          <w:color w:val="auto"/>
        </w:rPr>
      </w:pPr>
    </w:p>
    <w:p>
      <w:pPr>
        <w:jc w:val="both"/>
        <w:ind w:firstLine="885"/>
        <w:spacing w:after="0" w:line="287" w:lineRule="auto"/>
        <w:tabs>
          <w:tab w:leader="none" w:pos="1682"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Unless earlier terminated as provided herein, the initial term of this Agreement shall commence on the Effective Date and shall continue until December 31, 2017. Thereafter, this Agreement shall automatically renew on a year-to-year basis on the same terms and conditions set forth herein unless: (a) earlier terminated or amended as provided herein or (b) either party gives written notice of non-renewal at least sixty (60) days prior to the end of the initial term or any renewal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spacing w:after="0"/>
        <w:rPr>
          <w:sz w:val="20"/>
          <w:szCs w:val="20"/>
          <w:color w:val="auto"/>
        </w:rPr>
      </w:pPr>
      <w:r>
        <w:rPr>
          <w:rFonts w:ascii="Arial" w:cs="Arial" w:eastAsia="Arial" w:hAnsi="Arial"/>
          <w:sz w:val="21"/>
          <w:szCs w:val="21"/>
          <w:color w:val="auto"/>
        </w:rPr>
        <w:t>term of this Agreement. The initial term of this Agreement and all renewals thereof are referred to herein as the “</w:t>
      </w:r>
      <w:r>
        <w:rPr>
          <w:rFonts w:ascii="Arial" w:cs="Arial" w:eastAsia="Arial" w:hAnsi="Arial"/>
          <w:sz w:val="21"/>
          <w:szCs w:val="21"/>
          <w:b w:val="1"/>
          <w:bCs w:val="1"/>
          <w:color w:val="auto"/>
        </w:rPr>
        <w:t>Term</w:t>
      </w:r>
      <w:r>
        <w:rPr>
          <w:rFonts w:ascii="Arial" w:cs="Arial" w:eastAsia="Arial" w:hAnsi="Arial"/>
          <w:sz w:val="21"/>
          <w:szCs w:val="21"/>
          <w:color w:val="auto"/>
        </w:rPr>
        <w:t>.”</w:t>
      </w:r>
    </w:p>
    <w:p>
      <w:pPr>
        <w:spacing w:after="0" w:line="224" w:lineRule="exact"/>
        <w:rPr>
          <w:sz w:val="20"/>
          <w:szCs w:val="20"/>
          <w:color w:val="auto"/>
        </w:rPr>
      </w:pPr>
    </w:p>
    <w:p>
      <w:pPr>
        <w:ind w:firstLine="885"/>
        <w:spacing w:after="0" w:line="274" w:lineRule="auto"/>
        <w:tabs>
          <w:tab w:leader="none" w:pos="1682"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Compensation</w:t>
      </w:r>
      <w:r>
        <w:rPr>
          <w:rFonts w:ascii="Arial" w:cs="Arial" w:eastAsia="Arial" w:hAnsi="Arial"/>
          <w:sz w:val="21"/>
          <w:szCs w:val="21"/>
          <w:color w:val="auto"/>
        </w:rPr>
        <w:t>. During the Term, as compensation for the services rendered by the Executive under this Agreement, the Executive shall be entitled to receive the following (all payments are subject to applicable withholdings)</w:t>
      </w:r>
    </w:p>
    <w:p>
      <w:pPr>
        <w:spacing w:after="0" w:line="151" w:lineRule="exact"/>
        <w:rPr>
          <w:sz w:val="20"/>
          <w:szCs w:val="20"/>
          <w:color w:val="auto"/>
        </w:rPr>
      </w:pPr>
    </w:p>
    <w:p>
      <w:pPr>
        <w:jc w:val="both"/>
        <w:ind w:firstLine="1526"/>
        <w:spacing w:after="0"/>
        <w:rPr>
          <w:sz w:val="20"/>
          <w:szCs w:val="20"/>
          <w:color w:val="auto"/>
        </w:rPr>
      </w:pPr>
      <w:r>
        <w:rPr>
          <w:rFonts w:ascii="Arial" w:cs="Arial" w:eastAsia="Arial" w:hAnsi="Arial"/>
          <w:sz w:val="22"/>
          <w:szCs w:val="22"/>
          <w:color w:val="auto"/>
        </w:rPr>
        <w:t>(a)</w:t>
      </w:r>
      <w:r>
        <w:rPr>
          <w:rFonts w:ascii="Arial" w:cs="Arial" w:eastAsia="Arial" w:hAnsi="Arial"/>
          <w:sz w:val="22"/>
          <w:szCs w:val="22"/>
          <w:u w:val="single" w:color="auto"/>
          <w:color w:val="auto"/>
        </w:rPr>
        <w:t>Base Salary</w:t>
      </w:r>
      <w:r>
        <w:rPr>
          <w:rFonts w:ascii="Arial" w:cs="Arial" w:eastAsia="Arial" w:hAnsi="Arial"/>
          <w:sz w:val="22"/>
          <w:szCs w:val="22"/>
          <w:color w:val="auto"/>
        </w:rPr>
        <w:t>. The Executive shall receive a monthly salary at a rate of $33,333.33 (equal to an annual salary rate of $400,000) payable in accordance with the then-current payroll schedule of the Company (the “</w:t>
      </w:r>
      <w:r>
        <w:rPr>
          <w:rFonts w:ascii="Arial" w:cs="Arial" w:eastAsia="Arial" w:hAnsi="Arial"/>
          <w:sz w:val="22"/>
          <w:szCs w:val="22"/>
          <w:b w:val="1"/>
          <w:bCs w:val="1"/>
          <w:color w:val="auto"/>
        </w:rPr>
        <w:t>Base Salary</w:t>
      </w:r>
      <w:r>
        <w:rPr>
          <w:rFonts w:ascii="Arial" w:cs="Arial" w:eastAsia="Arial" w:hAnsi="Arial"/>
          <w:sz w:val="22"/>
          <w:szCs w:val="22"/>
          <w:color w:val="auto"/>
        </w:rPr>
        <w:t>”). The Executive's salary may be increased from time to time by the Board of Directors (the “</w:t>
      </w:r>
      <w:r>
        <w:rPr>
          <w:rFonts w:ascii="Arial" w:cs="Arial" w:eastAsia="Arial" w:hAnsi="Arial"/>
          <w:sz w:val="22"/>
          <w:szCs w:val="22"/>
          <w:b w:val="1"/>
          <w:bCs w:val="1"/>
          <w:color w:val="auto"/>
        </w:rPr>
        <w:t>Board</w:t>
      </w:r>
      <w:r>
        <w:rPr>
          <w:rFonts w:ascii="Arial" w:cs="Arial" w:eastAsia="Arial" w:hAnsi="Arial"/>
          <w:sz w:val="22"/>
          <w:szCs w:val="22"/>
          <w:color w:val="auto"/>
        </w:rPr>
        <w:t>”).</w:t>
      </w:r>
    </w:p>
    <w:p>
      <w:pPr>
        <w:spacing w:after="0" w:line="186" w:lineRule="exact"/>
        <w:rPr>
          <w:sz w:val="20"/>
          <w:szCs w:val="20"/>
          <w:color w:val="auto"/>
        </w:rPr>
      </w:pPr>
    </w:p>
    <w:p>
      <w:pPr>
        <w:jc w:val="both"/>
        <w:ind w:firstLine="1526"/>
        <w:spacing w:after="0" w:line="279" w:lineRule="auto"/>
        <w:rPr>
          <w:sz w:val="20"/>
          <w:szCs w:val="20"/>
          <w:color w:val="auto"/>
        </w:rPr>
      </w:pPr>
      <w:r>
        <w:rPr>
          <w:rFonts w:ascii="Arial" w:cs="Arial" w:eastAsia="Arial" w:hAnsi="Arial"/>
          <w:sz w:val="19"/>
          <w:szCs w:val="19"/>
          <w:color w:val="auto"/>
        </w:rPr>
        <w:t>(b)</w:t>
      </w:r>
      <w:r>
        <w:rPr>
          <w:rFonts w:ascii="Arial" w:cs="Arial" w:eastAsia="Arial" w:hAnsi="Arial"/>
          <w:sz w:val="19"/>
          <w:szCs w:val="19"/>
          <w:u w:val="single" w:color="auto"/>
          <w:color w:val="auto"/>
        </w:rPr>
        <w:t>Bonuses</w:t>
      </w:r>
      <w:r>
        <w:rPr>
          <w:rFonts w:ascii="Arial" w:cs="Arial" w:eastAsia="Arial" w:hAnsi="Arial"/>
          <w:sz w:val="19"/>
          <w:szCs w:val="19"/>
          <w:color w:val="auto"/>
        </w:rPr>
        <w:t>. The Executive shall be eligible to participate in all bonus or similar incentive plans adopted by the Board. The amount awarded, if any, to the Executive under any bonus or incentive plan shall be in the discretion of the Board or any committee administering such plan, based on its assessment of the Executive’s and the Company’s performance during the relevant period, but it is the expectation of the Company that any such bonus would be up to 50% of the Executive’s then-current annual Base Salary (the “Target Bonus”). If a bonus is awarded, unless otherwise specifically provided by the Board or committee administering such plan, it shall be paid between January 1 and March 15 of the year following the year in which such bonus was earned.</w:t>
      </w:r>
    </w:p>
    <w:p>
      <w:pPr>
        <w:spacing w:after="0" w:line="151" w:lineRule="exact"/>
        <w:rPr>
          <w:sz w:val="20"/>
          <w:szCs w:val="20"/>
          <w:color w:val="auto"/>
        </w:rPr>
      </w:pPr>
    </w:p>
    <w:p>
      <w:pPr>
        <w:jc w:val="both"/>
        <w:ind w:firstLine="1526"/>
        <w:spacing w:after="0" w:line="235" w:lineRule="auto"/>
        <w:rPr>
          <w:sz w:val="20"/>
          <w:szCs w:val="20"/>
          <w:color w:val="auto"/>
        </w:rPr>
      </w:pPr>
      <w:r>
        <w:rPr>
          <w:rFonts w:ascii="Arial" w:cs="Arial" w:eastAsia="Arial" w:hAnsi="Arial"/>
          <w:sz w:val="22"/>
          <w:szCs w:val="22"/>
          <w:color w:val="auto"/>
        </w:rPr>
        <w:t>(c)</w:t>
      </w:r>
      <w:r>
        <w:rPr>
          <w:rFonts w:ascii="Arial" w:cs="Arial" w:eastAsia="Arial" w:hAnsi="Arial"/>
          <w:sz w:val="22"/>
          <w:szCs w:val="22"/>
          <w:u w:val="single" w:color="auto"/>
          <w:color w:val="auto"/>
        </w:rPr>
        <w:t>Options</w:t>
      </w:r>
      <w:r>
        <w:rPr>
          <w:rFonts w:ascii="Arial" w:cs="Arial" w:eastAsia="Arial" w:hAnsi="Arial"/>
          <w:sz w:val="22"/>
          <w:szCs w:val="22"/>
          <w:color w:val="auto"/>
        </w:rPr>
        <w:t>. In connection with the Executive’s employment, the Company has issued to the Executive options to purchase shares of the common stock of the Company (the “Options”). The Options have vested or shall vest in accordance with the terms of the stock option Agreements. During the Term of the Agreement, Executive will be eligible to receive additional stock options, restricted stock grants, or other equity incentive awards under or outside of any current or successor equity incentive plans of the Company, as the Board in its sole discretion determines to be appropriate (any such awards, collectively with the Options, “Equity Awards”).</w:t>
      </w:r>
    </w:p>
    <w:p>
      <w:pPr>
        <w:spacing w:after="0" w:line="188" w:lineRule="exact"/>
        <w:rPr>
          <w:sz w:val="20"/>
          <w:szCs w:val="20"/>
          <w:color w:val="auto"/>
        </w:rPr>
      </w:pPr>
    </w:p>
    <w:p>
      <w:pPr>
        <w:jc w:val="both"/>
        <w:ind w:firstLine="1526"/>
        <w:spacing w:after="0" w:line="252" w:lineRule="auto"/>
        <w:rPr>
          <w:sz w:val="20"/>
          <w:szCs w:val="20"/>
          <w:color w:val="auto"/>
        </w:rPr>
      </w:pPr>
      <w:r>
        <w:rPr>
          <w:rFonts w:ascii="Arial" w:cs="Arial" w:eastAsia="Arial" w:hAnsi="Arial"/>
          <w:sz w:val="21"/>
          <w:szCs w:val="21"/>
          <w:color w:val="auto"/>
        </w:rPr>
        <w:t>(d)</w:t>
      </w:r>
      <w:r>
        <w:rPr>
          <w:rFonts w:ascii="Arial" w:cs="Arial" w:eastAsia="Arial" w:hAnsi="Arial"/>
          <w:sz w:val="21"/>
          <w:szCs w:val="21"/>
          <w:u w:val="single" w:color="auto"/>
          <w:color w:val="auto"/>
        </w:rPr>
        <w:t>Benefits</w:t>
      </w:r>
      <w:r>
        <w:rPr>
          <w:rFonts w:ascii="Arial" w:cs="Arial" w:eastAsia="Arial" w:hAnsi="Arial"/>
          <w:sz w:val="21"/>
          <w:szCs w:val="21"/>
          <w:color w:val="auto"/>
        </w:rPr>
        <w:t>. The Executive shall be entitled to receive those benefits provided from time to time to other executive employees of the Company, in accordance with the terms and conditions of the applicable plan documents; provided that the Executive meets the eligibility requirements thereof. All such benefits are subject to amendment or termination from time to time by the Company without the consent of the Executive or any other employee of the Company.</w:t>
      </w:r>
    </w:p>
    <w:p>
      <w:pPr>
        <w:spacing w:after="0" w:line="174" w:lineRule="exact"/>
        <w:rPr>
          <w:sz w:val="20"/>
          <w:szCs w:val="20"/>
          <w:color w:val="auto"/>
        </w:rPr>
      </w:pPr>
    </w:p>
    <w:p>
      <w:pPr>
        <w:jc w:val="both"/>
        <w:ind w:firstLine="1526"/>
        <w:spacing w:after="0" w:line="236" w:lineRule="auto"/>
        <w:rPr>
          <w:sz w:val="20"/>
          <w:szCs w:val="20"/>
          <w:color w:val="auto"/>
        </w:rPr>
      </w:pPr>
      <w:r>
        <w:rPr>
          <w:rFonts w:ascii="Arial" w:cs="Arial" w:eastAsia="Arial" w:hAnsi="Arial"/>
          <w:sz w:val="22"/>
          <w:szCs w:val="22"/>
          <w:color w:val="auto"/>
        </w:rPr>
        <w:t>(e)</w:t>
      </w:r>
      <w:r>
        <w:rPr>
          <w:rFonts w:ascii="Arial" w:cs="Arial" w:eastAsia="Arial" w:hAnsi="Arial"/>
          <w:sz w:val="22"/>
          <w:szCs w:val="22"/>
          <w:u w:val="single" w:color="auto"/>
          <w:color w:val="auto"/>
        </w:rPr>
        <w:t>Vacation</w:t>
      </w:r>
      <w:r>
        <w:rPr>
          <w:rFonts w:ascii="Arial" w:cs="Arial" w:eastAsia="Arial" w:hAnsi="Arial"/>
          <w:sz w:val="22"/>
          <w:szCs w:val="22"/>
          <w:color w:val="auto"/>
        </w:rPr>
        <w:t>. The Executive shall be entitled to four (4) weeks paid vacation per calendar year (with the vacation for any partial year being prorated) and shall be entitled to carry over one-half of the total Vacation days earned in one calendar year to the subsequent calendar year; provided, however, that in no event may the Executive carry over more than two (2) weeks of paid vacation into a subsequent year. Upon the termination of the Executive’s employment with the Company, no cash shall be paid in lieu of accrued but unused vacation.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(f) </w:t>
      </w:r>
      <w:r>
        <w:rPr>
          <w:rFonts w:ascii="Arial" w:cs="Arial" w:eastAsia="Arial" w:hAnsi="Arial"/>
          <w:sz w:val="19"/>
          <w:szCs w:val="19"/>
          <w:u w:val="single" w:color="auto"/>
          <w:color w:val="auto"/>
        </w:rPr>
        <w:t>Annual Physical Exam</w:t>
      </w:r>
      <w:r>
        <w:rPr>
          <w:rFonts w:ascii="Arial" w:cs="Arial" w:eastAsia="Arial" w:hAnsi="Arial"/>
          <w:sz w:val="19"/>
          <w:szCs w:val="19"/>
          <w:color w:val="auto"/>
        </w:rPr>
        <w:t>. The Company shall bear the cost of one comprehensive physical examination per calendar year.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0" w:name="page31"/>
    <w:bookmarkEnd w:id="30"/>
    <w:p>
      <w:pPr>
        <w:jc w:val="both"/>
        <w:ind w:firstLine="656"/>
        <w:spacing w:after="0" w:line="297" w:lineRule="auto"/>
        <w:tabs>
          <w:tab w:leader="none" w:pos="1540"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Business Expenses</w:t>
      </w:r>
      <w:r>
        <w:rPr>
          <w:rFonts w:ascii="Arial" w:cs="Arial" w:eastAsia="Arial" w:hAnsi="Arial"/>
          <w:sz w:val="19"/>
          <w:szCs w:val="19"/>
          <w:color w:val="auto"/>
        </w:rPr>
        <w:t>. The Company shall pay, or reimburse the Executive for, all reasonable expenses incurred by the Executive directly related to conduct of the business of the Company; provided that, the Executive complies with the Company’s policies for the reimbursement or advancement of business expenses that are now or hereafter in effect.</w:t>
      </w:r>
    </w:p>
    <w:p>
      <w:pPr>
        <w:spacing w:after="0" w:line="134" w:lineRule="exact"/>
        <w:rPr>
          <w:rFonts w:ascii="Arial" w:cs="Arial" w:eastAsia="Arial" w:hAnsi="Arial"/>
          <w:sz w:val="19"/>
          <w:szCs w:val="19"/>
          <w:color w:val="auto"/>
        </w:rPr>
      </w:pPr>
    </w:p>
    <w:p>
      <w:pPr>
        <w:ind w:firstLine="885"/>
        <w:spacing w:after="0" w:line="251" w:lineRule="auto"/>
        <w:tabs>
          <w:tab w:leader="none" w:pos="1682" w:val="left"/>
        </w:tabs>
        <w:numPr>
          <w:ilvl w:val="1"/>
          <w:numId w:val="15"/>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This Agreement and the Executive’s employment by the Company shall or may be terminated, as the case may be,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ind w:left="1760"/>
              <w:spacing w:after="0"/>
              <w:rPr>
                <w:sz w:val="20"/>
                <w:szCs w:val="20"/>
                <w:color w:val="auto"/>
              </w:rPr>
            </w:pPr>
            <w:r>
              <w:rPr>
                <w:rFonts w:ascii="Arial" w:cs="Arial" w:eastAsia="Arial" w:hAnsi="Arial"/>
                <w:sz w:val="22"/>
                <w:szCs w:val="22"/>
                <w:color w:val="auto"/>
              </w:rPr>
              <w:t>(a)</w:t>
            </w:r>
          </w:p>
        </w:tc>
        <w:tc>
          <w:tcPr>
            <w:tcW w:w="1080" w:type="dxa"/>
            <w:vAlign w:val="bottom"/>
          </w:tcPr>
          <w:p>
            <w:pPr>
              <w:spacing w:after="0"/>
              <w:rPr>
                <w:sz w:val="20"/>
                <w:szCs w:val="20"/>
                <w:color w:val="auto"/>
              </w:rPr>
            </w:pPr>
            <w:r>
              <w:rPr>
                <w:rFonts w:ascii="Arial" w:cs="Arial" w:eastAsia="Arial" w:hAnsi="Arial"/>
                <w:sz w:val="22"/>
                <w:szCs w:val="22"/>
                <w:color w:val="auto"/>
                <w:w w:val="91"/>
              </w:rPr>
              <w:t>Termination</w:t>
            </w:r>
          </w:p>
        </w:tc>
        <w:tc>
          <w:tcPr>
            <w:tcW w:w="1820" w:type="dxa"/>
            <w:vAlign w:val="bottom"/>
            <w:gridSpan w:val="2"/>
          </w:tcPr>
          <w:p>
            <w:pPr>
              <w:ind w:left="40"/>
              <w:spacing w:after="0"/>
              <w:rPr>
                <w:sz w:val="20"/>
                <w:szCs w:val="20"/>
                <w:color w:val="auto"/>
              </w:rPr>
            </w:pPr>
            <w:r>
              <w:rPr>
                <w:rFonts w:ascii="Arial" w:cs="Arial" w:eastAsia="Arial" w:hAnsi="Arial"/>
                <w:sz w:val="22"/>
                <w:szCs w:val="22"/>
                <w:color w:val="auto"/>
                <w:w w:val="99"/>
              </w:rPr>
              <w:t>upon Expiration of</w:t>
            </w:r>
          </w:p>
        </w:tc>
        <w:tc>
          <w:tcPr>
            <w:tcW w:w="960" w:type="dxa"/>
            <w:vAlign w:val="bottom"/>
            <w:gridSpan w:val="2"/>
          </w:tcPr>
          <w:p>
            <w:pPr>
              <w:ind w:left="80"/>
              <w:spacing w:after="0"/>
              <w:rPr>
                <w:sz w:val="20"/>
                <w:szCs w:val="20"/>
                <w:color w:val="auto"/>
              </w:rPr>
            </w:pPr>
            <w:r>
              <w:rPr>
                <w:rFonts w:ascii="Arial" w:cs="Arial" w:eastAsia="Arial" w:hAnsi="Arial"/>
                <w:sz w:val="22"/>
                <w:szCs w:val="22"/>
                <w:color w:val="auto"/>
                <w:w w:val="91"/>
              </w:rPr>
              <w:t>the Term.</w:t>
            </w:r>
          </w:p>
        </w:tc>
        <w:tc>
          <w:tcPr>
            <w:tcW w:w="700" w:type="dxa"/>
            <w:vAlign w:val="bottom"/>
          </w:tcPr>
          <w:p>
            <w:pPr>
              <w:ind w:left="240"/>
              <w:spacing w:after="0"/>
              <w:rPr>
                <w:sz w:val="20"/>
                <w:szCs w:val="20"/>
                <w:color w:val="auto"/>
              </w:rPr>
            </w:pPr>
            <w:r>
              <w:rPr>
                <w:rFonts w:ascii="Arial" w:cs="Arial" w:eastAsia="Arial" w:hAnsi="Arial"/>
                <w:sz w:val="22"/>
                <w:szCs w:val="22"/>
                <w:color w:val="auto"/>
              </w:rPr>
              <w:t>This</w:t>
            </w:r>
          </w:p>
        </w:tc>
        <w:tc>
          <w:tcPr>
            <w:tcW w:w="980" w:type="dxa"/>
            <w:vAlign w:val="bottom"/>
          </w:tcPr>
          <w:p>
            <w:pPr>
              <w:ind w:left="40"/>
              <w:spacing w:after="0"/>
              <w:rPr>
                <w:sz w:val="20"/>
                <w:szCs w:val="20"/>
                <w:color w:val="auto"/>
              </w:rPr>
            </w:pPr>
            <w:r>
              <w:rPr>
                <w:rFonts w:ascii="Arial" w:cs="Arial" w:eastAsia="Arial" w:hAnsi="Arial"/>
                <w:sz w:val="22"/>
                <w:szCs w:val="22"/>
                <w:color w:val="auto"/>
                <w:w w:val="85"/>
              </w:rPr>
              <w:t>Agreement</w:t>
            </w:r>
          </w:p>
        </w:tc>
        <w:tc>
          <w:tcPr>
            <w:tcW w:w="500" w:type="dxa"/>
            <w:vAlign w:val="bottom"/>
          </w:tcPr>
          <w:p>
            <w:pPr>
              <w:ind w:left="120"/>
              <w:spacing w:after="0"/>
              <w:rPr>
                <w:sz w:val="20"/>
                <w:szCs w:val="20"/>
                <w:color w:val="auto"/>
              </w:rPr>
            </w:pPr>
            <w:r>
              <w:rPr>
                <w:rFonts w:ascii="Arial" w:cs="Arial" w:eastAsia="Arial" w:hAnsi="Arial"/>
                <w:sz w:val="22"/>
                <w:szCs w:val="22"/>
                <w:color w:val="auto"/>
                <w:w w:val="97"/>
              </w:rPr>
              <w:t>and</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w w:val="94"/>
              </w:rPr>
              <w:t>the Executive’s</w:t>
            </w:r>
          </w:p>
        </w:tc>
      </w:tr>
      <w:tr>
        <w:trPr>
          <w:trHeight w:val="20"/>
        </w:trPr>
        <w:tc>
          <w:tcPr>
            <w:tcW w:w="3960" w:type="dxa"/>
            <w:vAlign w:val="bottom"/>
            <w:tcBorders>
              <w:right w:val="single" w:sz="8" w:color="auto"/>
            </w:tcBorders>
          </w:tcPr>
          <w:p>
            <w:pPr>
              <w:spacing w:after="0" w:line="20" w:lineRule="exact"/>
              <w:rPr>
                <w:sz w:val="1"/>
                <w:szCs w:val="1"/>
                <w:color w:val="auto"/>
              </w:rPr>
            </w:pPr>
          </w:p>
        </w:tc>
        <w:tc>
          <w:tcPr>
            <w:tcW w:w="2660" w:type="dxa"/>
            <w:vAlign w:val="bottom"/>
            <w:gridSpan w:val="2"/>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4"/>
        </w:trPr>
        <w:tc>
          <w:tcPr>
            <w:tcW w:w="8520" w:type="dxa"/>
            <w:vAlign w:val="bottom"/>
            <w:gridSpan w:val="7"/>
          </w:tcPr>
          <w:p>
            <w:pPr>
              <w:spacing w:after="0"/>
              <w:rPr>
                <w:sz w:val="20"/>
                <w:szCs w:val="20"/>
                <w:color w:val="auto"/>
              </w:rPr>
            </w:pPr>
            <w:r>
              <w:rPr>
                <w:rFonts w:ascii="Arial" w:cs="Arial" w:eastAsia="Arial" w:hAnsi="Arial"/>
                <w:sz w:val="22"/>
                <w:szCs w:val="22"/>
                <w:color w:val="auto"/>
                <w:w w:val="92"/>
              </w:rPr>
              <w:t>employment by the Company shall terminate upon the expiration of the Term, unless renewed.</w:t>
            </w: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409"/>
        </w:trPr>
        <w:tc>
          <w:tcPr>
            <w:tcW w:w="3960" w:type="dxa"/>
            <w:vAlign w:val="bottom"/>
          </w:tcPr>
          <w:p>
            <w:pPr>
              <w:ind w:left="1760"/>
              <w:spacing w:after="0"/>
              <w:rPr>
                <w:sz w:val="20"/>
                <w:szCs w:val="20"/>
                <w:color w:val="auto"/>
              </w:rPr>
            </w:pPr>
            <w:r>
              <w:rPr>
                <w:rFonts w:ascii="Arial" w:cs="Arial" w:eastAsia="Arial" w:hAnsi="Arial"/>
                <w:sz w:val="22"/>
                <w:szCs w:val="22"/>
                <w:color w:val="auto"/>
              </w:rPr>
              <w:t>(b)</w:t>
            </w:r>
          </w:p>
        </w:tc>
        <w:tc>
          <w:tcPr>
            <w:tcW w:w="1080" w:type="dxa"/>
            <w:vAlign w:val="bottom"/>
          </w:tcPr>
          <w:p>
            <w:pPr>
              <w:spacing w:after="0"/>
              <w:rPr>
                <w:sz w:val="20"/>
                <w:szCs w:val="20"/>
                <w:color w:val="auto"/>
              </w:rPr>
            </w:pPr>
            <w:r>
              <w:rPr>
                <w:rFonts w:ascii="Arial" w:cs="Arial" w:eastAsia="Arial" w:hAnsi="Arial"/>
                <w:sz w:val="22"/>
                <w:szCs w:val="22"/>
                <w:color w:val="auto"/>
                <w:w w:val="91"/>
              </w:rPr>
              <w:t>Termination</w:t>
            </w:r>
          </w:p>
        </w:tc>
        <w:tc>
          <w:tcPr>
            <w:tcW w:w="1820" w:type="dxa"/>
            <w:vAlign w:val="bottom"/>
            <w:gridSpan w:val="2"/>
          </w:tcPr>
          <w:p>
            <w:pPr>
              <w:ind w:left="40"/>
              <w:spacing w:after="0"/>
              <w:rPr>
                <w:sz w:val="20"/>
                <w:szCs w:val="20"/>
                <w:color w:val="auto"/>
              </w:rPr>
            </w:pPr>
            <w:r>
              <w:rPr>
                <w:rFonts w:ascii="Arial" w:cs="Arial" w:eastAsia="Arial" w:hAnsi="Arial"/>
                <w:sz w:val="22"/>
                <w:szCs w:val="22"/>
                <w:color w:val="auto"/>
              </w:rPr>
              <w:t>by the Executive.</w:t>
            </w:r>
          </w:p>
        </w:tc>
        <w:tc>
          <w:tcPr>
            <w:tcW w:w="3140" w:type="dxa"/>
            <w:vAlign w:val="bottom"/>
            <w:gridSpan w:val="5"/>
          </w:tcPr>
          <w:p>
            <w:pPr>
              <w:ind w:left="20"/>
              <w:spacing w:after="0"/>
              <w:rPr>
                <w:sz w:val="20"/>
                <w:szCs w:val="20"/>
                <w:color w:val="auto"/>
              </w:rPr>
            </w:pPr>
            <w:r>
              <w:rPr>
                <w:rFonts w:ascii="Arial" w:cs="Arial" w:eastAsia="Arial" w:hAnsi="Arial"/>
                <w:sz w:val="22"/>
                <w:szCs w:val="22"/>
                <w:color w:val="auto"/>
                <w:w w:val="95"/>
              </w:rPr>
              <w:t>The Executive may terminate this</w:t>
            </w:r>
          </w:p>
        </w:tc>
        <w:tc>
          <w:tcPr>
            <w:tcW w:w="1060" w:type="dxa"/>
            <w:vAlign w:val="bottom"/>
          </w:tcPr>
          <w:p>
            <w:pPr>
              <w:ind w:left="60"/>
              <w:spacing w:after="0"/>
              <w:rPr>
                <w:sz w:val="20"/>
                <w:szCs w:val="20"/>
                <w:color w:val="auto"/>
              </w:rPr>
            </w:pPr>
            <w:r>
              <w:rPr>
                <w:rFonts w:ascii="Arial" w:cs="Arial" w:eastAsia="Arial" w:hAnsi="Arial"/>
                <w:sz w:val="22"/>
                <w:szCs w:val="22"/>
                <w:color w:val="auto"/>
                <w:w w:val="91"/>
              </w:rPr>
              <w:t>Agreement</w:t>
            </w:r>
          </w:p>
        </w:tc>
        <w:tc>
          <w:tcPr>
            <w:tcW w:w="360" w:type="dxa"/>
            <w:vAlign w:val="bottom"/>
          </w:tcPr>
          <w:p>
            <w:pPr>
              <w:jc w:val="right"/>
              <w:spacing w:after="0"/>
              <w:rPr>
                <w:sz w:val="20"/>
                <w:szCs w:val="20"/>
                <w:color w:val="auto"/>
              </w:rPr>
            </w:pPr>
            <w:r>
              <w:rPr>
                <w:rFonts w:ascii="Arial" w:cs="Arial" w:eastAsia="Arial" w:hAnsi="Arial"/>
                <w:sz w:val="22"/>
                <w:szCs w:val="22"/>
                <w:color w:val="auto"/>
                <w:w w:val="92"/>
              </w:rPr>
              <w:t>and</w:t>
            </w:r>
          </w:p>
        </w:tc>
      </w:tr>
      <w:tr>
        <w:trPr>
          <w:trHeight w:val="274"/>
        </w:trPr>
        <w:tc>
          <w:tcPr>
            <w:tcW w:w="3960" w:type="dxa"/>
            <w:vAlign w:val="bottom"/>
          </w:tcPr>
          <w:p>
            <w:pPr>
              <w:spacing w:after="0"/>
              <w:rPr>
                <w:sz w:val="20"/>
                <w:szCs w:val="20"/>
                <w:color w:val="auto"/>
              </w:rPr>
            </w:pPr>
            <w:r>
              <w:rPr>
                <w:rFonts w:ascii="Arial" w:cs="Arial" w:eastAsia="Arial" w:hAnsi="Arial"/>
                <w:sz w:val="22"/>
                <w:szCs w:val="22"/>
                <w:color w:val="auto"/>
                <w:w w:val="95"/>
              </w:rPr>
              <w:t>Executive’s employment by the Company:</w:t>
            </w:r>
          </w:p>
        </w:tc>
        <w:tc>
          <w:tcPr>
            <w:tcW w:w="1080" w:type="dxa"/>
            <w:vAlign w:val="bottom"/>
            <w:tcBorders>
              <w:top w:val="single" w:sz="8" w:color="auto"/>
            </w:tcBorders>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446"/>
        </w:trPr>
        <w:tc>
          <w:tcPr>
            <w:tcW w:w="3960" w:type="dxa"/>
            <w:vAlign w:val="bottom"/>
          </w:tcPr>
          <w:p>
            <w:pPr>
              <w:ind w:left="2640"/>
              <w:spacing w:after="0"/>
              <w:rPr>
                <w:sz w:val="20"/>
                <w:szCs w:val="20"/>
                <w:color w:val="auto"/>
              </w:rPr>
            </w:pPr>
            <w:r>
              <w:rPr>
                <w:rFonts w:ascii="Arial" w:cs="Arial" w:eastAsia="Arial" w:hAnsi="Arial"/>
                <w:sz w:val="22"/>
                <w:szCs w:val="22"/>
                <w:color w:val="auto"/>
              </w:rPr>
              <w:t>(i)</w:t>
            </w:r>
          </w:p>
        </w:tc>
        <w:tc>
          <w:tcPr>
            <w:tcW w:w="1080" w:type="dxa"/>
            <w:vAlign w:val="bottom"/>
          </w:tcPr>
          <w:p>
            <w:pPr>
              <w:spacing w:after="0"/>
              <w:rPr>
                <w:sz w:val="24"/>
                <w:szCs w:val="24"/>
                <w:color w:val="auto"/>
              </w:rPr>
            </w:pPr>
          </w:p>
        </w:tc>
        <w:tc>
          <w:tcPr>
            <w:tcW w:w="2780" w:type="dxa"/>
            <w:vAlign w:val="bottom"/>
            <w:gridSpan w:val="4"/>
          </w:tcPr>
          <w:p>
            <w:pPr>
              <w:ind w:left="500"/>
              <w:spacing w:after="0"/>
              <w:rPr>
                <w:sz w:val="20"/>
                <w:szCs w:val="20"/>
                <w:color w:val="auto"/>
              </w:rPr>
            </w:pPr>
            <w:r>
              <w:rPr>
                <w:rFonts w:ascii="Arial" w:cs="Arial" w:eastAsia="Arial" w:hAnsi="Arial"/>
                <w:sz w:val="22"/>
                <w:szCs w:val="22"/>
                <w:color w:val="auto"/>
              </w:rPr>
              <w:t>for “Good Reason” (as</w:t>
            </w:r>
          </w:p>
        </w:tc>
        <w:tc>
          <w:tcPr>
            <w:tcW w:w="700" w:type="dxa"/>
            <w:vAlign w:val="bottom"/>
          </w:tcPr>
          <w:p>
            <w:pPr>
              <w:spacing w:after="0"/>
              <w:rPr>
                <w:sz w:val="20"/>
                <w:szCs w:val="20"/>
                <w:color w:val="auto"/>
              </w:rPr>
            </w:pPr>
            <w:r>
              <w:rPr>
                <w:rFonts w:ascii="Arial" w:cs="Arial" w:eastAsia="Arial" w:hAnsi="Arial"/>
                <w:sz w:val="22"/>
                <w:szCs w:val="22"/>
                <w:color w:val="auto"/>
                <w:w w:val="94"/>
              </w:rPr>
              <w:t>defined</w:t>
            </w:r>
          </w:p>
        </w:tc>
        <w:tc>
          <w:tcPr>
            <w:tcW w:w="980" w:type="dxa"/>
            <w:vAlign w:val="bottom"/>
          </w:tcPr>
          <w:p>
            <w:pPr>
              <w:ind w:left="80"/>
              <w:spacing w:after="0"/>
              <w:rPr>
                <w:sz w:val="20"/>
                <w:szCs w:val="20"/>
                <w:color w:val="auto"/>
              </w:rPr>
            </w:pPr>
            <w:r>
              <w:rPr>
                <w:rFonts w:ascii="Arial" w:cs="Arial" w:eastAsia="Arial" w:hAnsi="Arial"/>
                <w:sz w:val="22"/>
                <w:szCs w:val="22"/>
                <w:color w:val="auto"/>
              </w:rPr>
              <w:t>herein).</w:t>
            </w:r>
          </w:p>
        </w:tc>
        <w:tc>
          <w:tcPr>
            <w:tcW w:w="1560" w:type="dxa"/>
            <w:vAlign w:val="bottom"/>
            <w:gridSpan w:val="2"/>
          </w:tcPr>
          <w:p>
            <w:pPr>
              <w:spacing w:after="0"/>
              <w:rPr>
                <w:sz w:val="20"/>
                <w:szCs w:val="20"/>
                <w:color w:val="auto"/>
              </w:rPr>
            </w:pPr>
            <w:r>
              <w:rPr>
                <w:rFonts w:ascii="Arial" w:cs="Arial" w:eastAsia="Arial" w:hAnsi="Arial"/>
                <w:sz w:val="22"/>
                <w:szCs w:val="22"/>
                <w:color w:val="auto"/>
                <w:w w:val="99"/>
              </w:rPr>
              <w:t>For purposes of</w:t>
            </w:r>
          </w:p>
        </w:tc>
        <w:tc>
          <w:tcPr>
            <w:tcW w:w="360" w:type="dxa"/>
            <w:vAlign w:val="bottom"/>
          </w:tcPr>
          <w:p>
            <w:pPr>
              <w:jc w:val="right"/>
              <w:spacing w:after="0"/>
              <w:rPr>
                <w:sz w:val="20"/>
                <w:szCs w:val="20"/>
                <w:color w:val="auto"/>
              </w:rPr>
            </w:pPr>
            <w:r>
              <w:rPr>
                <w:rFonts w:ascii="Arial" w:cs="Arial" w:eastAsia="Arial" w:hAnsi="Arial"/>
                <w:sz w:val="22"/>
                <w:szCs w:val="22"/>
                <w:color w:val="auto"/>
                <w:w w:val="99"/>
              </w:rPr>
              <w:t>this</w:t>
            </w:r>
          </w:p>
        </w:tc>
      </w:tr>
    </w:tbl>
    <w:p>
      <w:pPr>
        <w:jc w:val="both"/>
        <w:spacing w:after="0" w:line="272" w:lineRule="auto"/>
        <w:rPr>
          <w:sz w:val="20"/>
          <w:szCs w:val="20"/>
          <w:color w:val="auto"/>
        </w:rPr>
      </w:pPr>
      <w:r>
        <w:rPr>
          <w:rFonts w:ascii="Arial" w:cs="Arial" w:eastAsia="Arial" w:hAnsi="Arial"/>
          <w:sz w:val="19"/>
          <w:szCs w:val="19"/>
          <w:color w:val="auto"/>
        </w:rPr>
        <w:t>Agreement, “</w:t>
      </w:r>
      <w:r>
        <w:rPr>
          <w:rFonts w:ascii="Arial" w:cs="Arial" w:eastAsia="Arial" w:hAnsi="Arial"/>
          <w:sz w:val="19"/>
          <w:szCs w:val="19"/>
          <w:b w:val="1"/>
          <w:bCs w:val="1"/>
          <w:color w:val="auto"/>
        </w:rPr>
        <w:t>Good Reason</w:t>
      </w:r>
      <w:r>
        <w:rPr>
          <w:rFonts w:ascii="Arial" w:cs="Arial" w:eastAsia="Arial" w:hAnsi="Arial"/>
          <w:sz w:val="19"/>
          <w:szCs w:val="19"/>
          <w:color w:val="auto"/>
        </w:rPr>
        <w:t>” shall mean, the existence, without the consent of the Executive, of any of the following events: (A) the Executive’s duties and responsibilities or salary are substantially reduced or diminished; (B) the Company materially breaches its obligations under this Agreement; or (C) the Executive’s place of employment is relocated by more than fifty (50) miles. In addition to any requirements set forth above, in order for any of the above events to constitute “Good Reason”, the Executive must (X) provide written notice to the Board of the existence of the event within thirty (30) days of the initial existence of the event, after which date the Company shall have sixty (60) days to cure the event which otherwise would constitute “Good Reason” hereunder, and (Y) notify Company in writing and with specificity if the Company’s cure was insufficient, and if such notice is provided, the Executive must terminate the Executive’s employment with the Company for such “Good Reason” no later than sixty (60) days after the end of the Company’s cure period set forth in (X), above.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40" w:type="dxa"/>
            <w:vAlign w:val="bottom"/>
          </w:tcPr>
          <w:p>
            <w:pPr>
              <w:ind w:left="2640"/>
              <w:spacing w:after="0"/>
              <w:rPr>
                <w:sz w:val="20"/>
                <w:szCs w:val="20"/>
                <w:color w:val="auto"/>
              </w:rPr>
            </w:pPr>
            <w:r>
              <w:rPr>
                <w:rFonts w:ascii="Arial" w:cs="Arial" w:eastAsia="Arial" w:hAnsi="Arial"/>
                <w:sz w:val="22"/>
                <w:szCs w:val="22"/>
                <w:color w:val="auto"/>
              </w:rPr>
              <w:t>(ii)</w:t>
            </w:r>
          </w:p>
        </w:tc>
        <w:tc>
          <w:tcPr>
            <w:tcW w:w="2620" w:type="dxa"/>
            <w:vAlign w:val="bottom"/>
            <w:gridSpan w:val="2"/>
          </w:tcPr>
          <w:p>
            <w:pPr>
              <w:ind w:left="1540"/>
              <w:spacing w:after="0"/>
              <w:rPr>
                <w:sz w:val="20"/>
                <w:szCs w:val="20"/>
                <w:color w:val="auto"/>
              </w:rPr>
            </w:pPr>
            <w:r>
              <w:rPr>
                <w:rFonts w:ascii="Arial" w:cs="Arial" w:eastAsia="Arial" w:hAnsi="Arial"/>
                <w:sz w:val="22"/>
                <w:szCs w:val="22"/>
                <w:color w:val="auto"/>
              </w:rPr>
              <w:t>Other than</w:t>
            </w:r>
          </w:p>
        </w:tc>
        <w:tc>
          <w:tcPr>
            <w:tcW w:w="4860" w:type="dxa"/>
            <w:vAlign w:val="bottom"/>
          </w:tcPr>
          <w:p>
            <w:pPr>
              <w:jc w:val="right"/>
              <w:spacing w:after="0"/>
              <w:rPr>
                <w:sz w:val="20"/>
                <w:szCs w:val="20"/>
                <w:color w:val="auto"/>
              </w:rPr>
            </w:pPr>
            <w:r>
              <w:rPr>
                <w:rFonts w:ascii="Arial" w:cs="Arial" w:eastAsia="Arial" w:hAnsi="Arial"/>
                <w:sz w:val="22"/>
                <w:szCs w:val="22"/>
                <w:color w:val="auto"/>
                <w:w w:val="97"/>
              </w:rPr>
              <w:t>for Good Reason thirty (30) days after notice to the</w:t>
            </w:r>
          </w:p>
        </w:tc>
      </w:tr>
      <w:tr>
        <w:trPr>
          <w:trHeight w:val="275"/>
        </w:trPr>
        <w:tc>
          <w:tcPr>
            <w:tcW w:w="3940" w:type="dxa"/>
            <w:vAlign w:val="bottom"/>
          </w:tcPr>
          <w:p>
            <w:pPr>
              <w:spacing w:after="0"/>
              <w:rPr>
                <w:sz w:val="20"/>
                <w:szCs w:val="20"/>
                <w:color w:val="auto"/>
              </w:rPr>
            </w:pPr>
            <w:r>
              <w:rPr>
                <w:rFonts w:ascii="Arial" w:cs="Arial" w:eastAsia="Arial" w:hAnsi="Arial"/>
                <w:sz w:val="22"/>
                <w:szCs w:val="22"/>
                <w:color w:val="auto"/>
              </w:rPr>
              <w:t>Company.</w:t>
            </w:r>
          </w:p>
        </w:tc>
        <w:tc>
          <w:tcPr>
            <w:tcW w:w="2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60" w:type="dxa"/>
            <w:vAlign w:val="bottom"/>
          </w:tcPr>
          <w:p>
            <w:pPr>
              <w:spacing w:after="0"/>
              <w:rPr>
                <w:sz w:val="23"/>
                <w:szCs w:val="23"/>
                <w:color w:val="auto"/>
              </w:rPr>
            </w:pPr>
          </w:p>
        </w:tc>
      </w:tr>
      <w:tr>
        <w:trPr>
          <w:trHeight w:val="409"/>
        </w:trPr>
        <w:tc>
          <w:tcPr>
            <w:tcW w:w="3940" w:type="dxa"/>
            <w:vAlign w:val="bottom"/>
          </w:tcPr>
          <w:p>
            <w:pPr>
              <w:ind w:left="1760"/>
              <w:spacing w:after="0"/>
              <w:rPr>
                <w:sz w:val="20"/>
                <w:szCs w:val="20"/>
                <w:color w:val="auto"/>
              </w:rPr>
            </w:pPr>
            <w:r>
              <w:rPr>
                <w:rFonts w:ascii="Arial" w:cs="Arial" w:eastAsia="Arial" w:hAnsi="Arial"/>
                <w:sz w:val="22"/>
                <w:szCs w:val="22"/>
                <w:color w:val="auto"/>
              </w:rPr>
              <w:t>(c)</w:t>
            </w:r>
          </w:p>
        </w:tc>
        <w:tc>
          <w:tcPr>
            <w:tcW w:w="2620" w:type="dxa"/>
            <w:vAlign w:val="bottom"/>
            <w:gridSpan w:val="2"/>
          </w:tcPr>
          <w:p>
            <w:pPr>
              <w:spacing w:after="0"/>
              <w:rPr>
                <w:sz w:val="20"/>
                <w:szCs w:val="20"/>
                <w:color w:val="auto"/>
              </w:rPr>
            </w:pPr>
            <w:r>
              <w:rPr>
                <w:rFonts w:ascii="Arial" w:cs="Arial" w:eastAsia="Arial" w:hAnsi="Arial"/>
                <w:sz w:val="22"/>
                <w:szCs w:val="22"/>
                <w:color w:val="auto"/>
                <w:w w:val="90"/>
              </w:rPr>
              <w:t>Termination by the Company.</w:t>
            </w:r>
          </w:p>
        </w:tc>
        <w:tc>
          <w:tcPr>
            <w:tcW w:w="4860" w:type="dxa"/>
            <w:vAlign w:val="bottom"/>
          </w:tcPr>
          <w:p>
            <w:pPr>
              <w:jc w:val="right"/>
              <w:spacing w:after="0"/>
              <w:rPr>
                <w:sz w:val="20"/>
                <w:szCs w:val="20"/>
                <w:color w:val="auto"/>
              </w:rPr>
            </w:pPr>
            <w:r>
              <w:rPr>
                <w:rFonts w:ascii="Arial" w:cs="Arial" w:eastAsia="Arial" w:hAnsi="Arial"/>
                <w:sz w:val="22"/>
                <w:szCs w:val="22"/>
                <w:color w:val="auto"/>
                <w:w w:val="93"/>
              </w:rPr>
              <w:t>The Company may terminate this Agreement and the</w:t>
            </w:r>
          </w:p>
        </w:tc>
      </w:tr>
      <w:tr>
        <w:trPr>
          <w:trHeight w:val="20"/>
        </w:trPr>
        <w:tc>
          <w:tcPr>
            <w:tcW w:w="394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274"/>
        </w:trPr>
        <w:tc>
          <w:tcPr>
            <w:tcW w:w="11420" w:type="dxa"/>
            <w:vAlign w:val="bottom"/>
            <w:gridSpan w:val="4"/>
          </w:tcPr>
          <w:p>
            <w:pPr>
              <w:spacing w:after="0"/>
              <w:rPr>
                <w:sz w:val="20"/>
                <w:szCs w:val="20"/>
                <w:color w:val="auto"/>
              </w:rPr>
            </w:pPr>
            <w:r>
              <w:rPr>
                <w:rFonts w:ascii="Arial" w:cs="Arial" w:eastAsia="Arial" w:hAnsi="Arial"/>
                <w:sz w:val="22"/>
                <w:szCs w:val="22"/>
                <w:color w:val="auto"/>
              </w:rPr>
              <w:t>Executive’s employment by the Company upon notice to the Executive (or Executive’s personal representative):</w:t>
            </w:r>
          </w:p>
        </w:tc>
      </w:tr>
      <w:tr>
        <w:trPr>
          <w:trHeight w:val="459"/>
        </w:trPr>
        <w:tc>
          <w:tcPr>
            <w:tcW w:w="3940" w:type="dxa"/>
            <w:vAlign w:val="bottom"/>
          </w:tcPr>
          <w:p>
            <w:pPr>
              <w:ind w:left="2640"/>
              <w:spacing w:after="0"/>
              <w:rPr>
                <w:sz w:val="20"/>
                <w:szCs w:val="20"/>
                <w:color w:val="auto"/>
              </w:rPr>
            </w:pPr>
            <w:r>
              <w:rPr>
                <w:rFonts w:ascii="Arial" w:cs="Arial" w:eastAsia="Arial" w:hAnsi="Arial"/>
                <w:sz w:val="22"/>
                <w:szCs w:val="22"/>
                <w:color w:val="auto"/>
              </w:rPr>
              <w:t>(i)</w:t>
            </w:r>
          </w:p>
        </w:tc>
        <w:tc>
          <w:tcPr>
            <w:tcW w:w="7480" w:type="dxa"/>
            <w:vAlign w:val="bottom"/>
            <w:gridSpan w:val="3"/>
          </w:tcPr>
          <w:p>
            <w:pPr>
              <w:jc w:val="right"/>
              <w:ind w:right="3292"/>
              <w:spacing w:after="0"/>
              <w:rPr>
                <w:sz w:val="20"/>
                <w:szCs w:val="20"/>
                <w:color w:val="auto"/>
              </w:rPr>
            </w:pPr>
            <w:r>
              <w:rPr>
                <w:rFonts w:ascii="Arial" w:cs="Arial" w:eastAsia="Arial" w:hAnsi="Arial"/>
                <w:sz w:val="22"/>
                <w:szCs w:val="22"/>
                <w:color w:val="auto"/>
              </w:rPr>
              <w:t>at any time and for any reason;</w:t>
            </w:r>
          </w:p>
        </w:tc>
      </w:tr>
    </w:tbl>
    <w:p>
      <w:pPr>
        <w:spacing w:after="0" w:line="185" w:lineRule="exact"/>
        <w:rPr>
          <w:sz w:val="20"/>
          <w:szCs w:val="20"/>
          <w:color w:val="auto"/>
        </w:rPr>
      </w:pPr>
    </w:p>
    <w:p>
      <w:pPr>
        <w:jc w:val="both"/>
        <w:ind w:firstLine="2642"/>
        <w:spacing w:after="0"/>
        <w:tabs>
          <w:tab w:leader="none" w:pos="3535" w:val="left"/>
        </w:tabs>
        <w:numPr>
          <w:ilvl w:val="0"/>
          <w:numId w:val="16"/>
        </w:numPr>
        <w:rPr>
          <w:rFonts w:ascii="Arial" w:cs="Arial" w:eastAsia="Arial" w:hAnsi="Arial"/>
          <w:sz w:val="22"/>
          <w:szCs w:val="22"/>
          <w:color w:val="auto"/>
        </w:rPr>
      </w:pPr>
      <w:r>
        <w:rPr>
          <w:rFonts w:ascii="Arial" w:cs="Arial" w:eastAsia="Arial" w:hAnsi="Arial"/>
          <w:sz w:val="22"/>
          <w:szCs w:val="22"/>
          <w:color w:val="auto"/>
        </w:rPr>
        <w:t>upon the death of the Executive, in which case this Agreement shall terminate immediately; provided that, such termination shall not prejudice any benefits payable to the Executive’s spouse or beneficiaries which are fully vested as of the date of death;</w:t>
      </w:r>
    </w:p>
    <w:p>
      <w:pPr>
        <w:spacing w:after="0" w:line="213" w:lineRule="exact"/>
        <w:rPr>
          <w:rFonts w:ascii="Arial" w:cs="Arial" w:eastAsia="Arial" w:hAnsi="Arial"/>
          <w:sz w:val="22"/>
          <w:szCs w:val="22"/>
          <w:color w:val="auto"/>
        </w:rPr>
      </w:pPr>
    </w:p>
    <w:p>
      <w:pPr>
        <w:jc w:val="both"/>
        <w:ind w:firstLine="2642"/>
        <w:spacing w:after="0" w:line="287" w:lineRule="auto"/>
        <w:tabs>
          <w:tab w:leader="none" w:pos="3592" w:val="left"/>
        </w:tabs>
        <w:numPr>
          <w:ilvl w:val="0"/>
          <w:numId w:val="16"/>
        </w:numPr>
        <w:rPr>
          <w:rFonts w:ascii="Arial" w:cs="Arial" w:eastAsia="Arial" w:hAnsi="Arial"/>
          <w:sz w:val="19"/>
          <w:szCs w:val="19"/>
          <w:color w:val="auto"/>
        </w:rPr>
      </w:pPr>
      <w:r>
        <w:rPr>
          <w:rFonts w:ascii="Arial" w:cs="Arial" w:eastAsia="Arial" w:hAnsi="Arial"/>
          <w:sz w:val="19"/>
          <w:szCs w:val="19"/>
          <w:color w:val="auto"/>
        </w:rPr>
        <w:t>if the Executive is “permanently disabled” (as defined herein), in which case this Agreement shall terminate immediately; provided that, such termination shall not prejudice any benefits payable to the Executive, the Executive’s spouse or beneficiaries which are fully vested as of the date of the termination of this Agreement. For purposes of this Agreement, the Executive shall be considered “</w:t>
      </w:r>
      <w:r>
        <w:rPr>
          <w:rFonts w:ascii="Arial" w:cs="Arial" w:eastAsia="Arial" w:hAnsi="Arial"/>
          <w:sz w:val="19"/>
          <w:szCs w:val="19"/>
          <w:b w:val="1"/>
          <w:bCs w:val="1"/>
          <w:color w:val="auto"/>
        </w:rPr>
        <w:t>permanently disabled</w:t>
      </w:r>
      <w:r>
        <w:rPr>
          <w:rFonts w:ascii="Arial" w:cs="Arial" w:eastAsia="Arial" w:hAnsi="Arial"/>
          <w:sz w:val="19"/>
          <w:szCs w:val="19"/>
          <w:color w:val="auto"/>
        </w:rPr>
        <w:t>” when a qualified medical doctor mutually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1" w:name="page32"/>
    <w:bookmarkEnd w:id="31"/>
    <w:p>
      <w:pPr>
        <w:jc w:val="both"/>
        <w:spacing w:after="0" w:line="279" w:lineRule="auto"/>
        <w:rPr>
          <w:sz w:val="20"/>
          <w:szCs w:val="20"/>
          <w:color w:val="auto"/>
        </w:rPr>
      </w:pPr>
      <w:r>
        <w:rPr>
          <w:rFonts w:ascii="Arial" w:cs="Arial" w:eastAsia="Arial" w:hAnsi="Arial"/>
          <w:sz w:val="19"/>
          <w:szCs w:val="19"/>
          <w:color w:val="auto"/>
        </w:rPr>
        <w:t>acceptable to the Company and the Executive or the Executive’s personal representative shall have certified in writing that: (A) the Executive is unable, because of a medically determinable physical or mental disability, to perform substantially all of the Executive’s duties, with or without a reasonable accommodation, for more than one hundred and eighty (180) calendar days measured from the last full day of work; or (B) by reason of mental or physical disability, it is unlikely that the Executive will be able, within one hundred and eighty (180) calendar days, to resume substantially all business duties and responsibilities in which the Executive was previously engaged and otherwise discharge the Executive’s duties under this Agreement;</w:t>
      </w:r>
    </w:p>
    <w:p>
      <w:pPr>
        <w:spacing w:after="0" w:line="151" w:lineRule="exact"/>
        <w:rPr>
          <w:sz w:val="20"/>
          <w:szCs w:val="20"/>
          <w:color w:val="auto"/>
        </w:rPr>
      </w:pPr>
    </w:p>
    <w:p>
      <w:pPr>
        <w:jc w:val="both"/>
        <w:ind w:firstLine="2642"/>
        <w:spacing w:after="0" w:line="238" w:lineRule="auto"/>
        <w:tabs>
          <w:tab w:leader="none" w:pos="3583" w:val="left"/>
        </w:tabs>
        <w:numPr>
          <w:ilvl w:val="0"/>
          <w:numId w:val="17"/>
        </w:numPr>
        <w:rPr>
          <w:rFonts w:ascii="Arial" w:cs="Arial" w:eastAsia="Arial" w:hAnsi="Arial"/>
          <w:sz w:val="22"/>
          <w:szCs w:val="22"/>
          <w:color w:val="auto"/>
        </w:rPr>
      </w:pPr>
      <w:r>
        <w:rPr>
          <w:rFonts w:ascii="Arial" w:cs="Arial" w:eastAsia="Arial" w:hAnsi="Arial"/>
          <w:sz w:val="22"/>
          <w:szCs w:val="22"/>
          <w:color w:val="auto"/>
        </w:rPr>
        <w:t>upon the liquidation, dissolution or discontinuance of business by the Company in any manner or the filing of any petition by or against the Company under any federal or state bankruptcy or insolvency laws, which petition shall not be dismissed within sixty (60) days after filing; provided that, such termination shall not prejudice the Executive’s rights as a stockholder or a creditor of the Company; or</w:t>
      </w:r>
    </w:p>
    <w:p>
      <w:pPr>
        <w:spacing w:after="0" w:line="179" w:lineRule="exact"/>
        <w:rPr>
          <w:sz w:val="20"/>
          <w:szCs w:val="20"/>
          <w:color w:val="auto"/>
        </w:rPr>
      </w:pPr>
    </w:p>
    <w:p>
      <w:pPr>
        <w:jc w:val="both"/>
        <w:ind w:right="20" w:firstLine="2634"/>
        <w:spacing w:after="0" w:line="256" w:lineRule="auto"/>
        <w:rPr>
          <w:sz w:val="20"/>
          <w:szCs w:val="20"/>
          <w:color w:val="auto"/>
        </w:rPr>
      </w:pPr>
      <w:r>
        <w:rPr>
          <w:rFonts w:ascii="Arial" w:cs="Arial" w:eastAsia="Arial" w:hAnsi="Arial"/>
          <w:sz w:val="22"/>
          <w:szCs w:val="22"/>
          <w:color w:val="auto"/>
        </w:rPr>
        <w:t>(v)"for cause" (as defined herein). “</w:t>
      </w:r>
      <w:r>
        <w:rPr>
          <w:rFonts w:ascii="Arial" w:cs="Arial" w:eastAsia="Arial" w:hAnsi="Arial"/>
          <w:sz w:val="22"/>
          <w:szCs w:val="22"/>
          <w:b w:val="1"/>
          <w:bCs w:val="1"/>
          <w:color w:val="auto"/>
        </w:rPr>
        <w:t>For cause</w:t>
      </w:r>
      <w:r>
        <w:rPr>
          <w:rFonts w:ascii="Arial" w:cs="Arial" w:eastAsia="Arial" w:hAnsi="Arial"/>
          <w:sz w:val="22"/>
          <w:szCs w:val="22"/>
          <w:color w:val="auto"/>
        </w:rPr>
        <w:t>” shall be determined by the Board by a majority vote without the participation of the Executive in such vote and shall mean:</w:t>
      </w:r>
    </w:p>
    <w:p>
      <w:pPr>
        <w:spacing w:after="0" w:line="169" w:lineRule="exact"/>
        <w:rPr>
          <w:sz w:val="20"/>
          <w:szCs w:val="20"/>
          <w:color w:val="auto"/>
        </w:rPr>
      </w:pPr>
    </w:p>
    <w:p>
      <w:pPr>
        <w:jc w:val="both"/>
        <w:ind w:firstLine="3511"/>
        <w:spacing w:after="0" w:line="297" w:lineRule="auto"/>
        <w:rPr>
          <w:sz w:val="20"/>
          <w:szCs w:val="20"/>
          <w:color w:val="auto"/>
        </w:rPr>
      </w:pPr>
      <w:r>
        <w:rPr>
          <w:rFonts w:ascii="Arial" w:cs="Arial" w:eastAsia="Arial" w:hAnsi="Arial"/>
          <w:sz w:val="19"/>
          <w:szCs w:val="19"/>
          <w:color w:val="auto"/>
        </w:rPr>
        <w:t>(A)Any material breach of the terms of this Agreement by the Executive, or the failure of the Executive to diligently and properly perform the Executive’s duties for the Company or the Executive’s failure to achieve the objectives specified by the Board , which breach or failure is not cured within thirty (30) days after written notice thereof;</w:t>
      </w:r>
    </w:p>
    <w:p>
      <w:pPr>
        <w:spacing w:after="0" w:line="134" w:lineRule="exact"/>
        <w:rPr>
          <w:sz w:val="20"/>
          <w:szCs w:val="20"/>
          <w:color w:val="auto"/>
        </w:rPr>
      </w:pPr>
    </w:p>
    <w:p>
      <w:pPr>
        <w:jc w:val="both"/>
        <w:ind w:firstLine="3511"/>
        <w:spacing w:after="0"/>
        <w:rPr>
          <w:sz w:val="20"/>
          <w:szCs w:val="20"/>
          <w:color w:val="auto"/>
        </w:rPr>
      </w:pPr>
      <w:r>
        <w:rPr>
          <w:rFonts w:ascii="Arial" w:cs="Arial" w:eastAsia="Arial" w:hAnsi="Arial"/>
          <w:sz w:val="22"/>
          <w:szCs w:val="22"/>
          <w:color w:val="auto"/>
        </w:rPr>
        <w:t>(B)The Executive’s misappropriation or unauthorized use of the Company’s tangible or intangible property, or breach of the Proprietary Information Agreement (as defined herein) or any other similar agreement regarding confidentiality, intellectual property rights, non-competition or non-solicitation;</w:t>
      </w:r>
    </w:p>
    <w:p>
      <w:pPr>
        <w:spacing w:after="0" w:line="186" w:lineRule="exact"/>
        <w:rPr>
          <w:sz w:val="20"/>
          <w:szCs w:val="20"/>
          <w:color w:val="auto"/>
        </w:rPr>
      </w:pPr>
    </w:p>
    <w:p>
      <w:pPr>
        <w:jc w:val="both"/>
        <w:ind w:firstLine="3511"/>
        <w:spacing w:after="0" w:line="238" w:lineRule="auto"/>
        <w:rPr>
          <w:sz w:val="20"/>
          <w:szCs w:val="20"/>
          <w:color w:val="auto"/>
        </w:rPr>
      </w:pPr>
      <w:r>
        <w:rPr>
          <w:rFonts w:ascii="Arial" w:cs="Arial" w:eastAsia="Arial" w:hAnsi="Arial"/>
          <w:sz w:val="22"/>
          <w:szCs w:val="22"/>
          <w:color w:val="auto"/>
        </w:rPr>
        <w:t xml:space="preserve">(C)Any material failure to comply with the Company Policies or any other policies and/or directives of the Board, which failure is not cured within thirty (30) days after written notice thereof; </w:t>
      </w:r>
      <w:r>
        <w:rPr>
          <w:rFonts w:ascii="Arial" w:cs="Arial" w:eastAsia="Arial" w:hAnsi="Arial"/>
          <w:sz w:val="22"/>
          <w:szCs w:val="22"/>
          <w:i w:val="1"/>
          <w:iCs w:val="1"/>
          <w:color w:val="auto"/>
        </w:rPr>
        <w:t>provided, however</w:t>
      </w:r>
      <w:r>
        <w:rPr>
          <w:rFonts w:ascii="Arial" w:cs="Arial" w:eastAsia="Arial" w:hAnsi="Arial"/>
          <w:sz w:val="22"/>
          <w:szCs w:val="22"/>
          <w:color w:val="auto"/>
        </w:rPr>
        <w:t>, in the case of failure to comply with Company Policies related to harassment, unlawful discrimination, retaliation or workplace violence a thirty (30) day cure period and written notice thereof is not required;</w:t>
      </w:r>
    </w:p>
    <w:p>
      <w:pPr>
        <w:spacing w:after="0" w:line="185" w:lineRule="exact"/>
        <w:rPr>
          <w:sz w:val="20"/>
          <w:szCs w:val="20"/>
          <w:color w:val="auto"/>
        </w:rPr>
      </w:pPr>
    </w:p>
    <w:p>
      <w:pPr>
        <w:ind w:firstLine="3511"/>
        <w:spacing w:after="0" w:line="328" w:lineRule="auto"/>
        <w:rPr>
          <w:sz w:val="20"/>
          <w:szCs w:val="20"/>
          <w:color w:val="auto"/>
        </w:rPr>
      </w:pPr>
      <w:r>
        <w:rPr>
          <w:rFonts w:ascii="Arial" w:cs="Arial" w:eastAsia="Arial" w:hAnsi="Arial"/>
          <w:sz w:val="19"/>
          <w:szCs w:val="19"/>
          <w:color w:val="auto"/>
        </w:rPr>
        <w:t>(D)The Executive’s use of illegal drugs or any illegal substance, or the Executive’s use of alcohol in any manner that materially interferes with the performance of the Executive’s duties under this Agreement;</w:t>
      </w:r>
    </w:p>
    <w:p>
      <w:pPr>
        <w:spacing w:after="0" w:line="105" w:lineRule="exact"/>
        <w:rPr>
          <w:sz w:val="20"/>
          <w:szCs w:val="20"/>
          <w:color w:val="auto"/>
        </w:rPr>
      </w:pPr>
    </w:p>
    <w:p>
      <w:pPr>
        <w:jc w:val="both"/>
        <w:ind w:firstLine="3511"/>
        <w:spacing w:after="0"/>
        <w:rPr>
          <w:sz w:val="20"/>
          <w:szCs w:val="20"/>
          <w:color w:val="auto"/>
        </w:rPr>
      </w:pPr>
      <w:r>
        <w:rPr>
          <w:rFonts w:ascii="Arial" w:cs="Arial" w:eastAsia="Arial" w:hAnsi="Arial"/>
          <w:sz w:val="22"/>
          <w:szCs w:val="22"/>
          <w:color w:val="auto"/>
        </w:rPr>
        <w:t>(E)Any dishonest or illegal action (including, without limitation, embezzlement) or any other action whether or not dishonest or illegal by the Executive which is materially detrimental to the interest and well-being of the Company, including, without limitation, harm to its reputation;</w:t>
      </w:r>
    </w:p>
    <w:p>
      <w:pPr>
        <w:spacing w:after="0" w:line="186" w:lineRule="exact"/>
        <w:rPr>
          <w:sz w:val="20"/>
          <w:szCs w:val="20"/>
          <w:color w:val="auto"/>
        </w:rPr>
      </w:pPr>
    </w:p>
    <w:p>
      <w:pPr>
        <w:jc w:val="both"/>
        <w:ind w:firstLine="3511"/>
        <w:spacing w:after="0"/>
        <w:rPr>
          <w:sz w:val="20"/>
          <w:szCs w:val="20"/>
          <w:color w:val="auto"/>
        </w:rPr>
      </w:pPr>
      <w:r>
        <w:rPr>
          <w:rFonts w:ascii="Arial" w:cs="Arial" w:eastAsia="Arial" w:hAnsi="Arial"/>
          <w:sz w:val="22"/>
          <w:szCs w:val="22"/>
          <w:color w:val="auto"/>
        </w:rPr>
        <w:t>(F)The Executive’s failure to fully disclose any material conflict of interest that the Executive may have with the Company in a transaction between the Company and any third party which is materially detrimental to the interest and well-being of the Company; 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2" w:name="page33"/>
    <w:bookmarkEnd w:id="32"/>
    <w:p>
      <w:pPr>
        <w:jc w:val="both"/>
        <w:ind w:firstLine="3511"/>
        <w:spacing w:after="0" w:line="238" w:lineRule="auto"/>
        <w:rPr>
          <w:sz w:val="20"/>
          <w:szCs w:val="20"/>
          <w:color w:val="auto"/>
        </w:rPr>
      </w:pPr>
      <w:r>
        <w:rPr>
          <w:rFonts w:ascii="Arial" w:cs="Arial" w:eastAsia="Arial" w:hAnsi="Arial"/>
          <w:sz w:val="22"/>
          <w:szCs w:val="22"/>
          <w:color w:val="auto"/>
        </w:rPr>
        <w:t>(G)Any adverse action or omission by the Executive which would be required to be disclosed pursuant to public securities laws or which would limit the ability of the Company or any entity affiliated with the Company to sell securities under any Federal or state law or which would disqualify the Company or any affiliated entity from any exemption otherwise available to it.</w:t>
      </w:r>
    </w:p>
    <w:p>
      <w:pPr>
        <w:spacing w:after="0" w:line="185" w:lineRule="exact"/>
        <w:rPr>
          <w:sz w:val="20"/>
          <w:szCs w:val="20"/>
          <w:color w:val="auto"/>
        </w:rPr>
      </w:pPr>
    </w:p>
    <w:p>
      <w:pPr>
        <w:ind w:left="2660" w:hanging="897"/>
        <w:spacing w:after="0"/>
        <w:tabs>
          <w:tab w:leader="none" w:pos="2660"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Obligations of the Company Upon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642"/>
        <w:spacing w:after="0" w:line="279" w:lineRule="auto"/>
        <w:tabs>
          <w:tab w:leader="none" w:pos="3478" w:val="left"/>
        </w:tabs>
        <w:numPr>
          <w:ilvl w:val="2"/>
          <w:numId w:val="18"/>
        </w:numPr>
        <w:rPr>
          <w:rFonts w:ascii="Arial" w:cs="Arial" w:eastAsia="Arial" w:hAnsi="Arial"/>
          <w:sz w:val="19"/>
          <w:szCs w:val="19"/>
          <w:color w:val="auto"/>
        </w:rPr>
      </w:pPr>
      <w:r>
        <w:rPr>
          <w:rFonts w:ascii="Arial" w:cs="Arial" w:eastAsia="Arial" w:hAnsi="Arial"/>
          <w:sz w:val="19"/>
          <w:szCs w:val="19"/>
          <w:color w:val="auto"/>
        </w:rPr>
        <w:t>Upon the termination of this Agreement: (A) pursuant to the expiration of the Term upon notice of non-renewal of the Term given by the Executive; (B) by the Executive pursuant to paragraph 5(b)(ii); or (C) by the Company pursuant to paragraph 5(c)(ii), (iii), (iv), or (v), the Company shall have no further obligations hereunder other than the payment of all compensation and other benefits payable to the Executive through the date of such termination which shall be paid on or before the Company’s next regularly scheduled payday unless such amount is not then-calculable, in which case payment shall be made on the first regularly scheduled payday after the amount is calculable.</w:t>
      </w:r>
    </w:p>
    <w:p>
      <w:pPr>
        <w:spacing w:after="0" w:line="150" w:lineRule="exact"/>
        <w:rPr>
          <w:rFonts w:ascii="Arial" w:cs="Arial" w:eastAsia="Arial" w:hAnsi="Arial"/>
          <w:sz w:val="19"/>
          <w:szCs w:val="19"/>
          <w:color w:val="auto"/>
        </w:rPr>
      </w:pPr>
    </w:p>
    <w:p>
      <w:pPr>
        <w:jc w:val="both"/>
        <w:ind w:firstLine="2642"/>
        <w:spacing w:after="0" w:line="247" w:lineRule="auto"/>
        <w:tabs>
          <w:tab w:leader="none" w:pos="3535" w:val="left"/>
        </w:tabs>
        <w:numPr>
          <w:ilvl w:val="2"/>
          <w:numId w:val="18"/>
        </w:numPr>
        <w:rPr>
          <w:rFonts w:ascii="Arial" w:cs="Arial" w:eastAsia="Arial" w:hAnsi="Arial"/>
          <w:sz w:val="21"/>
          <w:szCs w:val="21"/>
          <w:color w:val="auto"/>
        </w:rPr>
      </w:pPr>
      <w:r>
        <w:rPr>
          <w:rFonts w:ascii="Arial" w:cs="Arial" w:eastAsia="Arial" w:hAnsi="Arial"/>
          <w:sz w:val="21"/>
          <w:szCs w:val="21"/>
          <w:color w:val="auto"/>
        </w:rPr>
        <w:t>Upon termination of this Agreement: Except as provided for in Section 5(d)(iii) in the case of a Termination of this Agreement in Connection with a “</w:t>
      </w:r>
      <w:r>
        <w:rPr>
          <w:rFonts w:ascii="Arial" w:cs="Arial" w:eastAsia="Arial" w:hAnsi="Arial"/>
          <w:sz w:val="21"/>
          <w:szCs w:val="21"/>
          <w:b w:val="1"/>
          <w:bCs w:val="1"/>
          <w:color w:val="auto"/>
        </w:rPr>
        <w:t>Change in Control</w:t>
      </w:r>
      <w:r>
        <w:rPr>
          <w:rFonts w:ascii="Arial" w:cs="Arial" w:eastAsia="Arial" w:hAnsi="Arial"/>
          <w:sz w:val="21"/>
          <w:szCs w:val="21"/>
          <w:color w:val="auto"/>
        </w:rPr>
        <w:t>” or “</w:t>
      </w:r>
      <w:r>
        <w:rPr>
          <w:rFonts w:ascii="Arial" w:cs="Arial" w:eastAsia="Arial" w:hAnsi="Arial"/>
          <w:sz w:val="21"/>
          <w:szCs w:val="21"/>
          <w:b w:val="1"/>
          <w:bCs w:val="1"/>
          <w:color w:val="auto"/>
        </w:rPr>
        <w:t>Corporate Transaction</w:t>
      </w:r>
      <w:r>
        <w:rPr>
          <w:rFonts w:ascii="Arial" w:cs="Arial" w:eastAsia="Arial" w:hAnsi="Arial"/>
          <w:sz w:val="21"/>
          <w:szCs w:val="21"/>
          <w:color w:val="auto"/>
        </w:rPr>
        <w:t>” (as each such term is defined in the Clearside Biomedical, Inc. 2016 Stock Incentive Plan, as amended from time to time): (A) by the Executive pursuant to paragraph 5(b)(i), or (B) by the Company pursuant to paragraph 5(c)(i) or upon notice of non-renewal of the Term given by the Company and, in any such case, provided that the Executive first executes and does not revoke a release and settlement agreement in the form acceptable to the Company within the time period then-specified by the Company but in any event no later than sixty (60) days after the date of termination (the “</w:t>
      </w:r>
      <w:r>
        <w:rPr>
          <w:rFonts w:ascii="Arial" w:cs="Arial" w:eastAsia="Arial" w:hAnsi="Arial"/>
          <w:sz w:val="21"/>
          <w:szCs w:val="21"/>
          <w:b w:val="1"/>
          <w:bCs w:val="1"/>
          <w:color w:val="auto"/>
        </w:rPr>
        <w:t>Release</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jc w:val="both"/>
        <w:ind w:firstLine="885"/>
        <w:spacing w:after="0" w:line="238" w:lineRule="auto"/>
        <w:tabs>
          <w:tab w:leader="none" w:pos="1821"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Company shall pay the Executive an amount equal to eighteen (18) months of Executive’s then-current Base Salary (less all applicable deductions) payable in installments in accordance with the then-current generally applicable payroll schedule of the Company commencing on the first regularly scheduled pay date of the Company processed after Executive has executed, delivered to the Company and not revoked the Release;</w:t>
      </w:r>
    </w:p>
    <w:p>
      <w:pPr>
        <w:spacing w:after="0" w:line="185" w:lineRule="exact"/>
        <w:rPr>
          <w:rFonts w:ascii="Arial" w:cs="Arial" w:eastAsia="Arial" w:hAnsi="Arial"/>
          <w:sz w:val="22"/>
          <w:szCs w:val="22"/>
          <w:color w:val="auto"/>
        </w:rPr>
      </w:pPr>
    </w:p>
    <w:p>
      <w:pPr>
        <w:jc w:val="both"/>
        <w:ind w:firstLine="885"/>
        <w:spacing w:after="0" w:line="274" w:lineRule="auto"/>
        <w:tabs>
          <w:tab w:leader="none" w:pos="1769" w:val="left"/>
        </w:tabs>
        <w:numPr>
          <w:ilvl w:val="0"/>
          <w:numId w:val="19"/>
        </w:numPr>
        <w:rPr>
          <w:rFonts w:ascii="Arial" w:cs="Arial" w:eastAsia="Arial" w:hAnsi="Arial"/>
          <w:sz w:val="19"/>
          <w:szCs w:val="19"/>
          <w:color w:val="auto"/>
        </w:rPr>
      </w:pPr>
      <w:r>
        <w:rPr>
          <w:rFonts w:ascii="Arial" w:cs="Arial" w:eastAsia="Arial" w:hAnsi="Arial"/>
          <w:sz w:val="19"/>
          <w:szCs w:val="19"/>
          <w:color w:val="auto"/>
        </w:rPr>
        <w:t>provided that the Executive has been employed for at least six (6) months during the calendar year of the termination of this Agreement, the Company shall pay the Executive an amount equal to the prorated portion (based on the number of days of the Executive’s employment during the year of termination) of the portion of the Target Bonus the Executive would have earned under Section 4(b) for the applicable calendar year (less all applicable deductions), payable in a lump sum on the first payroll cycle following January 1 of the year following the year in which this Agreement is terminated. For illustration, if the Executive’s employment is terminated as of September 30 of a year and the Compensation Committee determines that the Executive would be eligible for 70% of the Target Bonus based on the Committee’s assessment of individual and corporate performance during the year of termination, then the amount payable under this paragraph would be the amount determined by multiplying 75% (i.e., a pro ration reflecting ¾ of the year) by 70% of the Target Bonus for such year;</w:t>
      </w:r>
    </w:p>
    <w:p>
      <w:pPr>
        <w:spacing w:after="0" w:line="158" w:lineRule="exact"/>
        <w:rPr>
          <w:rFonts w:ascii="Arial" w:cs="Arial" w:eastAsia="Arial" w:hAnsi="Arial"/>
          <w:sz w:val="19"/>
          <w:szCs w:val="19"/>
          <w:color w:val="auto"/>
        </w:rPr>
      </w:pPr>
    </w:p>
    <w:p>
      <w:pPr>
        <w:ind w:left="1780" w:hanging="895"/>
        <w:spacing w:after="0"/>
        <w:tabs>
          <w:tab w:leader="none" w:pos="17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provided that the Executive properly elects and maintains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3" w:name="page34"/>
    <w:bookmarkEnd w:id="33"/>
    <w:p>
      <w:pPr>
        <w:jc w:val="both"/>
        <w:spacing w:after="0" w:line="249" w:lineRule="auto"/>
        <w:rPr>
          <w:sz w:val="20"/>
          <w:szCs w:val="20"/>
          <w:color w:val="auto"/>
        </w:rPr>
      </w:pPr>
      <w:r>
        <w:rPr>
          <w:rFonts w:ascii="Arial" w:cs="Arial" w:eastAsia="Arial" w:hAnsi="Arial"/>
          <w:sz w:val="21"/>
          <w:szCs w:val="21"/>
          <w:color w:val="auto"/>
        </w:rPr>
        <w:t>continued health insurance coverage under the Company sponsored plan and provided further that such benefits continue to be offered under the Company sponsored plan, the Company shall reimburse the Executive in an amount equal to the cost of the premium for such continued health insurance coverage at the same average level and on the same terms and conditions which applied immediately prior to the date of the Executive’s termination for the shorter of (a) eighteen (18) months from the date of termination or (b) until the Executive obtains reasonably comparable coverage; and</w:t>
      </w:r>
    </w:p>
    <w:p>
      <w:pPr>
        <w:spacing w:after="0" w:line="179" w:lineRule="exact"/>
        <w:rPr>
          <w:sz w:val="20"/>
          <w:szCs w:val="20"/>
          <w:color w:val="auto"/>
        </w:rPr>
      </w:pPr>
    </w:p>
    <w:p>
      <w:pPr>
        <w:jc w:val="both"/>
        <w:ind w:firstLine="885"/>
        <w:spacing w:after="0" w:line="238" w:lineRule="auto"/>
        <w:tabs>
          <w:tab w:leader="none" w:pos="1769" w:val="left"/>
        </w:tabs>
        <w:numPr>
          <w:ilvl w:val="0"/>
          <w:numId w:val="20"/>
        </w:numPr>
        <w:rPr>
          <w:rFonts w:ascii="Arial" w:cs="Arial" w:eastAsia="Arial" w:hAnsi="Arial"/>
          <w:sz w:val="22"/>
          <w:szCs w:val="22"/>
          <w:color w:val="auto"/>
        </w:rPr>
      </w:pPr>
      <w:r>
        <w:rPr>
          <w:rFonts w:ascii="Arial" w:cs="Arial" w:eastAsia="Arial" w:hAnsi="Arial"/>
          <w:sz w:val="22"/>
          <w:szCs w:val="22"/>
          <w:color w:val="auto"/>
        </w:rPr>
        <w:t>each Equity Award held by Executive shall immediately vest and be exercisable to the extent such Equity Award would have vested had Executive remained employed by the Company for a period of eighteen (18) months from the date of termination of this Agreement. The Company and the Executive hereby agree that the Equity Awards shall be deemed amended to the extent necessary to give effect to this provision.</w:t>
      </w:r>
    </w:p>
    <w:p>
      <w:pPr>
        <w:spacing w:after="0" w:line="185" w:lineRule="exact"/>
        <w:rPr>
          <w:rFonts w:ascii="Arial" w:cs="Arial" w:eastAsia="Arial" w:hAnsi="Arial"/>
          <w:sz w:val="22"/>
          <w:szCs w:val="22"/>
          <w:color w:val="auto"/>
        </w:rPr>
      </w:pPr>
    </w:p>
    <w:p>
      <w:pPr>
        <w:jc w:val="both"/>
        <w:ind w:firstLine="2642"/>
        <w:spacing w:after="0" w:line="238" w:lineRule="auto"/>
        <w:tabs>
          <w:tab w:leader="none" w:pos="3592" w:val="left"/>
        </w:tabs>
        <w:numPr>
          <w:ilvl w:val="1"/>
          <w:numId w:val="20"/>
        </w:numPr>
        <w:rPr>
          <w:rFonts w:ascii="Arial" w:cs="Arial" w:eastAsia="Arial" w:hAnsi="Arial"/>
          <w:sz w:val="22"/>
          <w:szCs w:val="22"/>
          <w:color w:val="auto"/>
        </w:rPr>
      </w:pPr>
      <w:r>
        <w:rPr>
          <w:rFonts w:ascii="Arial" w:cs="Arial" w:eastAsia="Arial" w:hAnsi="Arial"/>
          <w:sz w:val="22"/>
          <w:szCs w:val="22"/>
          <w:color w:val="auto"/>
        </w:rPr>
        <w:t>Upon termination of this Agreement within twelve months following a Change in Control or Corporate Transaction: (A) by the Executive pursuant to paragraph 5(b)(i), or (B) by the Company pursuant to paragraph 5(c)(i) or upon notice of non-renewal of the Term given by the Company in any such case, Executive shall be entitled to the following severance benefits, subject to execution of the Release:</w:t>
      </w:r>
    </w:p>
    <w:p>
      <w:pPr>
        <w:spacing w:after="0" w:line="185" w:lineRule="exact"/>
        <w:rPr>
          <w:sz w:val="20"/>
          <w:szCs w:val="20"/>
          <w:color w:val="auto"/>
        </w:rPr>
      </w:pPr>
    </w:p>
    <w:p>
      <w:pPr>
        <w:jc w:val="both"/>
        <w:ind w:firstLine="2642"/>
        <w:spacing w:after="0" w:line="321" w:lineRule="auto"/>
        <w:tabs>
          <w:tab w:leader="none" w:pos="3604"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shall pay the Executive an amount equal to two years of Executive’s then-current Base Salary (less all applicable deductions) payable in a lump sum payment on the first regularly scheduled pay date of the Company processed after Executive has executed and delivered to the Company and the Release and any revocation period has expired;</w:t>
      </w:r>
    </w:p>
    <w:p>
      <w:pPr>
        <w:spacing w:after="0" w:line="114" w:lineRule="exact"/>
        <w:rPr>
          <w:rFonts w:ascii="Arial" w:cs="Arial" w:eastAsia="Arial" w:hAnsi="Arial"/>
          <w:sz w:val="18"/>
          <w:szCs w:val="18"/>
          <w:color w:val="auto"/>
        </w:rPr>
      </w:pPr>
    </w:p>
    <w:p>
      <w:pPr>
        <w:jc w:val="both"/>
        <w:ind w:firstLine="2642"/>
        <w:spacing w:after="0" w:line="297" w:lineRule="auto"/>
        <w:tabs>
          <w:tab w:leader="none" w:pos="3526" w:val="left"/>
        </w:tabs>
        <w:numPr>
          <w:ilvl w:val="1"/>
          <w:numId w:val="21"/>
        </w:numPr>
        <w:rPr>
          <w:rFonts w:ascii="Arial" w:cs="Arial" w:eastAsia="Arial" w:hAnsi="Arial"/>
          <w:sz w:val="19"/>
          <w:szCs w:val="19"/>
          <w:color w:val="auto"/>
        </w:rPr>
      </w:pPr>
      <w:r>
        <w:rPr>
          <w:rFonts w:ascii="Arial" w:cs="Arial" w:eastAsia="Arial" w:hAnsi="Arial"/>
          <w:sz w:val="19"/>
          <w:szCs w:val="19"/>
          <w:color w:val="auto"/>
        </w:rPr>
        <w:t>the Company shall pay the Executive an amount equal to two (2) times the Executive’s Target Bonus amount (less all applicable deductions) payable in a lump sum payment on the first regularly scheduled pay date of the Company processed after Executive has executed and delivered to the Company and the Release and any revocation period has expired;</w:t>
      </w:r>
    </w:p>
    <w:p>
      <w:pPr>
        <w:spacing w:after="0" w:line="134" w:lineRule="exact"/>
        <w:rPr>
          <w:rFonts w:ascii="Arial" w:cs="Arial" w:eastAsia="Arial" w:hAnsi="Arial"/>
          <w:sz w:val="19"/>
          <w:szCs w:val="19"/>
          <w:color w:val="auto"/>
        </w:rPr>
      </w:pPr>
    </w:p>
    <w:p>
      <w:pPr>
        <w:jc w:val="both"/>
        <w:ind w:firstLine="2642"/>
        <w:spacing w:after="0" w:line="282" w:lineRule="auto"/>
        <w:tabs>
          <w:tab w:leader="none" w:pos="3631" w:val="left"/>
        </w:tabs>
        <w:numPr>
          <w:ilvl w:val="1"/>
          <w:numId w:val="21"/>
        </w:numPr>
        <w:rPr>
          <w:rFonts w:ascii="Arial" w:cs="Arial" w:eastAsia="Arial" w:hAnsi="Arial"/>
          <w:sz w:val="19"/>
          <w:szCs w:val="19"/>
          <w:color w:val="auto"/>
        </w:rPr>
      </w:pPr>
      <w:r>
        <w:rPr>
          <w:rFonts w:ascii="Arial" w:cs="Arial" w:eastAsia="Arial" w:hAnsi="Arial"/>
          <w:sz w:val="19"/>
          <w:szCs w:val="19"/>
          <w:color w:val="auto"/>
        </w:rPr>
        <w:t>provided that the Executive properly elects and maintains continued health insurance coverage under the Company sponsored plan, the Company shall reimburse the Executive in an amount equal to one hundred percent (100%) of the cost of the premium for such continued health insurance coverage at the same average level and on the same terms and conditions which applied immediately prior to the date of the Executive’s termination for the shorter of (a) eighteen (18) months from the date of termination or (b) until the Executive obtains reasonably comparable coverage through an employer; and</w:t>
      </w:r>
    </w:p>
    <w:p>
      <w:pPr>
        <w:spacing w:after="0" w:line="147" w:lineRule="exact"/>
        <w:rPr>
          <w:rFonts w:ascii="Arial" w:cs="Arial" w:eastAsia="Arial" w:hAnsi="Arial"/>
          <w:sz w:val="19"/>
          <w:szCs w:val="19"/>
          <w:color w:val="auto"/>
        </w:rPr>
      </w:pPr>
    </w:p>
    <w:p>
      <w:pPr>
        <w:jc w:val="both"/>
        <w:ind w:firstLine="2642"/>
        <w:spacing w:after="0" w:line="258" w:lineRule="auto"/>
        <w:tabs>
          <w:tab w:leader="none" w:pos="3526" w:val="left"/>
        </w:tabs>
        <w:numPr>
          <w:ilvl w:val="1"/>
          <w:numId w:val="21"/>
        </w:numPr>
        <w:rPr>
          <w:rFonts w:ascii="Arial" w:cs="Arial" w:eastAsia="Arial" w:hAnsi="Arial"/>
          <w:sz w:val="21"/>
          <w:szCs w:val="21"/>
          <w:color w:val="auto"/>
        </w:rPr>
      </w:pPr>
      <w:r>
        <w:rPr>
          <w:rFonts w:ascii="Arial" w:cs="Arial" w:eastAsia="Arial" w:hAnsi="Arial"/>
          <w:sz w:val="21"/>
          <w:szCs w:val="21"/>
          <w:color w:val="auto"/>
        </w:rPr>
        <w:t>each Equity Award held by Executive at the time of termination shall immediately vest and be exercisable until the final exercise date set forth in the Equity Award. The Company and the Executive hereby agree that the Equity Awards shall be deemed amended to the extent necessary to give effect to this provision.</w:t>
      </w:r>
    </w:p>
    <w:p>
      <w:pPr>
        <w:spacing w:after="0" w:line="166" w:lineRule="exact"/>
        <w:rPr>
          <w:rFonts w:ascii="Arial" w:cs="Arial" w:eastAsia="Arial" w:hAnsi="Arial"/>
          <w:sz w:val="21"/>
          <w:szCs w:val="21"/>
          <w:color w:val="auto"/>
        </w:rPr>
      </w:pPr>
    </w:p>
    <w:p>
      <w:pPr>
        <w:jc w:val="both"/>
        <w:ind w:firstLine="1763"/>
        <w:spacing w:after="0" w:line="238" w:lineRule="auto"/>
        <w:tabs>
          <w:tab w:leader="none" w:pos="2635"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Resignation as Officer and Director</w:t>
      </w:r>
      <w:r>
        <w:rPr>
          <w:rFonts w:ascii="Arial" w:cs="Arial" w:eastAsia="Arial" w:hAnsi="Arial"/>
          <w:sz w:val="22"/>
          <w:szCs w:val="22"/>
          <w:color w:val="auto"/>
        </w:rPr>
        <w:t>. Upon termination of this Agreement and the Executive’s employment hereunder for any reason by either party, the Executive shall be deemed to have resigned from all offices and positions the Executive may hold with the Company at such time including without limitation Board membership and/or positions as an officer of the Company.</w:t>
      </w:r>
    </w:p>
    <w:p>
      <w:pPr>
        <w:spacing w:after="0" w:line="185" w:lineRule="exact"/>
        <w:rPr>
          <w:rFonts w:ascii="Arial" w:cs="Arial" w:eastAsia="Arial" w:hAnsi="Arial"/>
          <w:sz w:val="22"/>
          <w:szCs w:val="22"/>
          <w:color w:val="auto"/>
        </w:rPr>
      </w:pPr>
    </w:p>
    <w:p>
      <w:pPr>
        <w:ind w:left="2620" w:hanging="857"/>
        <w:spacing w:after="0"/>
        <w:tabs>
          <w:tab w:leader="none" w:pos="262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Payment in Lieu of Notice Period</w:t>
      </w:r>
      <w:r>
        <w:rPr>
          <w:rFonts w:ascii="Arial" w:cs="Arial" w:eastAsia="Arial" w:hAnsi="Arial"/>
          <w:sz w:val="22"/>
          <w:szCs w:val="22"/>
          <w:color w:val="auto"/>
        </w:rPr>
        <w:t>. Upon the termination of this Agreement: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4" w:name="page35"/>
    <w:bookmarkEnd w:id="34"/>
    <w:p>
      <w:pPr>
        <w:ind w:left="360" w:hanging="352"/>
        <w:spacing w:after="0"/>
        <w:tabs>
          <w:tab w:leader="none" w:pos="3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pursuant to the expiration of the Term based on a non-renewal notice given by either party in accordance with paragraph 3(b); or</w:t>
      </w:r>
    </w:p>
    <w:p>
      <w:pPr>
        <w:spacing w:after="0" w:line="42" w:lineRule="exact"/>
        <w:rPr>
          <w:rFonts w:ascii="Arial" w:cs="Arial" w:eastAsia="Arial" w:hAnsi="Arial"/>
          <w:sz w:val="19"/>
          <w:szCs w:val="19"/>
          <w:color w:val="auto"/>
        </w:rPr>
      </w:pPr>
    </w:p>
    <w:p>
      <w:pPr>
        <w:jc w:val="both"/>
        <w:ind w:firstLine="8"/>
        <w:spacing w:after="0" w:line="275" w:lineRule="auto"/>
        <w:tabs>
          <w:tab w:leader="none" w:pos="333" w:val="left"/>
        </w:tabs>
        <w:numPr>
          <w:ilvl w:val="0"/>
          <w:numId w:val="23"/>
        </w:numPr>
        <w:rPr>
          <w:rFonts w:ascii="Arial" w:cs="Arial" w:eastAsia="Arial" w:hAnsi="Arial"/>
          <w:sz w:val="19"/>
          <w:szCs w:val="19"/>
          <w:color w:val="auto"/>
        </w:rPr>
      </w:pPr>
      <w:r>
        <w:rPr>
          <w:rFonts w:ascii="Arial" w:cs="Arial" w:eastAsia="Arial" w:hAnsi="Arial"/>
          <w:sz w:val="19"/>
          <w:szCs w:val="19"/>
          <w:color w:val="auto"/>
        </w:rPr>
        <w:t>by the Executive pursuant to paragraph 5(b)(i) or 5(b)(ii), the Company may, at its sole election, pay the Executive an amount equal to Executive’s then-current Base Salary for all or any portion of the applicable notice period required by paragraph 3(b) or paragraph 5(b)(i) or 5(b)(ii) in lieu of all or any portion of such notice period; provided, however, any such election by the Company shall not be deemed to be a termination by the Company that invokes the obligations set forth in Section 5(d)(ii) of this Agreement. Notwithstanding the above, if the Executive requests that Executive’s final day of employment occur prior to the expiration of any applicable notice period and the Company consents, pay in lieu of notice shall not be required.</w:t>
      </w:r>
    </w:p>
    <w:p>
      <w:pPr>
        <w:spacing w:after="0" w:line="154" w:lineRule="exact"/>
        <w:rPr>
          <w:rFonts w:ascii="Arial" w:cs="Arial" w:eastAsia="Arial" w:hAnsi="Arial"/>
          <w:sz w:val="19"/>
          <w:szCs w:val="19"/>
          <w:color w:val="auto"/>
        </w:rPr>
      </w:pPr>
    </w:p>
    <w:p>
      <w:pPr>
        <w:ind w:left="1800" w:hanging="915"/>
        <w:spacing w:after="0"/>
        <w:tabs>
          <w:tab w:leader="none" w:pos="1800"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Parachute Payment upon Corporate Transaction.</w:t>
      </w:r>
    </w:p>
    <w:p>
      <w:pPr>
        <w:spacing w:after="0" w:line="206" w:lineRule="exact"/>
        <w:rPr>
          <w:sz w:val="20"/>
          <w:szCs w:val="20"/>
          <w:color w:val="auto"/>
        </w:rPr>
      </w:pPr>
    </w:p>
    <w:p>
      <w:pPr>
        <w:jc w:val="both"/>
        <w:ind w:firstLine="1526"/>
        <w:spacing w:after="0" w:line="269" w:lineRule="auto"/>
        <w:rPr>
          <w:sz w:val="20"/>
          <w:szCs w:val="20"/>
          <w:color w:val="auto"/>
        </w:rPr>
      </w:pPr>
      <w:r>
        <w:rPr>
          <w:rFonts w:ascii="Arial" w:cs="Arial" w:eastAsia="Arial" w:hAnsi="Arial"/>
          <w:sz w:val="19"/>
          <w:szCs w:val="19"/>
          <w:color w:val="auto"/>
        </w:rPr>
        <w:t>(a)In the event of a Corporate Transaction which results in a change (i) in the ownership of effective control of the Company, or (ii) in the ownership of a substantial portion of the assets of the corporation (within the meaning of Section 280G of the Code and the regulations thereunder (“</w:t>
      </w:r>
      <w:r>
        <w:rPr>
          <w:rFonts w:ascii="Arial" w:cs="Arial" w:eastAsia="Arial" w:hAnsi="Arial"/>
          <w:sz w:val="19"/>
          <w:szCs w:val="19"/>
          <w:b w:val="1"/>
          <w:bCs w:val="1"/>
          <w:color w:val="auto"/>
        </w:rPr>
        <w:t>Section 280G</w:t>
      </w:r>
      <w:r>
        <w:rPr>
          <w:rFonts w:ascii="Arial" w:cs="Arial" w:eastAsia="Arial" w:hAnsi="Arial"/>
          <w:sz w:val="19"/>
          <w:szCs w:val="19"/>
          <w:color w:val="auto"/>
        </w:rPr>
        <w:t>”)) (a “</w:t>
      </w:r>
      <w:r>
        <w:rPr>
          <w:rFonts w:ascii="Arial" w:cs="Arial" w:eastAsia="Arial" w:hAnsi="Arial"/>
          <w:sz w:val="19"/>
          <w:szCs w:val="19"/>
          <w:b w:val="1"/>
          <w:bCs w:val="1"/>
          <w:color w:val="auto"/>
        </w:rPr>
        <w:t>280G Change in Control</w:t>
      </w:r>
      <w:r>
        <w:rPr>
          <w:rFonts w:ascii="Arial" w:cs="Arial" w:eastAsia="Arial" w:hAnsi="Arial"/>
          <w:sz w:val="19"/>
          <w:szCs w:val="19"/>
          <w:color w:val="auto"/>
        </w:rPr>
        <w:t>”) payments and benefits under this Agreement, together with other payments and benefits provided to Executive by the Company (including, without limitation, any accelerated vesting of stock options) (the “</w:t>
      </w:r>
      <w:r>
        <w:rPr>
          <w:rFonts w:ascii="Arial" w:cs="Arial" w:eastAsia="Arial" w:hAnsi="Arial"/>
          <w:sz w:val="19"/>
          <w:szCs w:val="19"/>
          <w:b w:val="1"/>
          <w:bCs w:val="1"/>
          <w:color w:val="auto"/>
        </w:rPr>
        <w:t>Total Payments</w:t>
      </w:r>
      <w:r>
        <w:rPr>
          <w:rFonts w:ascii="Arial" w:cs="Arial" w:eastAsia="Arial" w:hAnsi="Arial"/>
          <w:sz w:val="19"/>
          <w:szCs w:val="19"/>
          <w:color w:val="auto"/>
        </w:rPr>
        <w:t>”) shall be made in accordance with this Section 6(a). If all or a portion of the Total Payments would constitute an “excess parachute payment” within the meaning of Section 280G (the aggregate of such payments or portions thereof) being hereinafter referred to as the “</w:t>
      </w:r>
      <w:r>
        <w:rPr>
          <w:rFonts w:ascii="Arial" w:cs="Arial" w:eastAsia="Arial" w:hAnsi="Arial"/>
          <w:sz w:val="19"/>
          <w:szCs w:val="19"/>
          <w:b w:val="1"/>
          <w:bCs w:val="1"/>
          <w:color w:val="auto"/>
        </w:rPr>
        <w:t>Excess Parachute Payments</w:t>
      </w:r>
      <w:r>
        <w:rPr>
          <w:rFonts w:ascii="Arial" w:cs="Arial" w:eastAsia="Arial" w:hAnsi="Arial"/>
          <w:sz w:val="19"/>
          <w:szCs w:val="19"/>
          <w:color w:val="auto"/>
        </w:rPr>
        <w:t>”), then the Executive will be entitled to receive: (i) an amount limited so that no portion thereof shall fail to be tax deductible under Section 280G of the Code (the “</w:t>
      </w:r>
      <w:r>
        <w:rPr>
          <w:rFonts w:ascii="Arial" w:cs="Arial" w:eastAsia="Arial" w:hAnsi="Arial"/>
          <w:sz w:val="19"/>
          <w:szCs w:val="19"/>
          <w:b w:val="1"/>
          <w:bCs w:val="1"/>
          <w:color w:val="auto"/>
        </w:rPr>
        <w:t>Limited Amount</w:t>
      </w:r>
      <w:r>
        <w:rPr>
          <w:rFonts w:ascii="Arial" w:cs="Arial" w:eastAsia="Arial" w:hAnsi="Arial"/>
          <w:sz w:val="19"/>
          <w:szCs w:val="19"/>
          <w:color w:val="auto"/>
        </w:rPr>
        <w:t>”), or</w:t>
      </w:r>
    </w:p>
    <w:p>
      <w:pPr>
        <w:spacing w:after="0" w:line="4" w:lineRule="exact"/>
        <w:rPr>
          <w:sz w:val="20"/>
          <w:szCs w:val="20"/>
          <w:color w:val="auto"/>
        </w:rPr>
      </w:pPr>
    </w:p>
    <w:p>
      <w:pPr>
        <w:jc w:val="both"/>
        <w:ind w:firstLine="8"/>
        <w:spacing w:after="0" w:line="233" w:lineRule="auto"/>
        <w:tabs>
          <w:tab w:leader="none" w:pos="328" w:val="left"/>
        </w:tabs>
        <w:numPr>
          <w:ilvl w:val="0"/>
          <w:numId w:val="24"/>
        </w:numPr>
        <w:rPr>
          <w:rFonts w:ascii="Arial" w:cs="Arial" w:eastAsia="Arial" w:hAnsi="Arial"/>
          <w:sz w:val="22"/>
          <w:szCs w:val="22"/>
          <w:color w:val="auto"/>
        </w:rPr>
      </w:pPr>
      <w:r>
        <w:rPr>
          <w:rFonts w:ascii="Arial" w:cs="Arial" w:eastAsia="Arial" w:hAnsi="Arial"/>
          <w:sz w:val="22"/>
          <w:szCs w:val="22"/>
          <w:color w:val="auto"/>
        </w:rPr>
        <w:t>if the amount otherwise payable hereunder or otherwise (without regarding to clause (i)) reduced by all taxes applicable thereto (including, for the avoidance of doubt, the federal excise tax levied on certain Excess Parachute Payments under Section 4999 of the Code (the “</w:t>
      </w:r>
      <w:r>
        <w:rPr>
          <w:rFonts w:ascii="Arial" w:cs="Arial" w:eastAsia="Arial" w:hAnsi="Arial"/>
          <w:sz w:val="22"/>
          <w:szCs w:val="22"/>
          <w:b w:val="1"/>
          <w:bCs w:val="1"/>
          <w:color w:val="auto"/>
        </w:rPr>
        <w:t>Excise Tax</w:t>
      </w:r>
      <w:r>
        <w:rPr>
          <w:rFonts w:ascii="Arial" w:cs="Arial" w:eastAsia="Arial" w:hAnsi="Arial"/>
          <w:sz w:val="22"/>
          <w:szCs w:val="22"/>
          <w:color w:val="auto"/>
        </w:rPr>
        <w:t>”)) would be greater than the Limited Amount reduced by all taxes applicable thereto, the amount otherwise payable hereunder.</w:t>
      </w:r>
    </w:p>
    <w:p>
      <w:pPr>
        <w:spacing w:after="0" w:line="188" w:lineRule="exact"/>
        <w:rPr>
          <w:sz w:val="20"/>
          <w:szCs w:val="20"/>
          <w:color w:val="auto"/>
        </w:rPr>
      </w:pPr>
    </w:p>
    <w:p>
      <w:pPr>
        <w:jc w:val="both"/>
        <w:ind w:firstLine="1526"/>
        <w:spacing w:after="0" w:line="273" w:lineRule="auto"/>
        <w:rPr>
          <w:sz w:val="20"/>
          <w:szCs w:val="20"/>
          <w:color w:val="auto"/>
        </w:rPr>
      </w:pPr>
      <w:r>
        <w:rPr>
          <w:rFonts w:ascii="Arial" w:cs="Arial" w:eastAsia="Arial" w:hAnsi="Arial"/>
          <w:sz w:val="19"/>
          <w:szCs w:val="19"/>
          <w:color w:val="auto"/>
        </w:rPr>
        <w:t>(b)The determination as to whether the Total Payments include Excess Parachute Payments and, if so, the amount of such Excess Parachute Payments, the amount of any Excise Tax with respect thereto, and the amount of any reduction in Total Payments shall be made at the Company’s expense by the independent public accounting firm most recently serving as the Company’s outside auditors or such other accounting or benefits consulting group or firm as the Company may designate (the “</w:t>
      </w:r>
      <w:r>
        <w:rPr>
          <w:rFonts w:ascii="Arial" w:cs="Arial" w:eastAsia="Arial" w:hAnsi="Arial"/>
          <w:sz w:val="19"/>
          <w:szCs w:val="19"/>
          <w:b w:val="1"/>
          <w:bCs w:val="1"/>
          <w:color w:val="auto"/>
        </w:rPr>
        <w:t>Accountants</w:t>
      </w:r>
      <w:r>
        <w:rPr>
          <w:rFonts w:ascii="Arial" w:cs="Arial" w:eastAsia="Arial" w:hAnsi="Arial"/>
          <w:sz w:val="19"/>
          <w:szCs w:val="19"/>
          <w:color w:val="auto"/>
        </w:rPr>
        <w:t xml:space="preserve">”). In the event that any payments under this Agreement or otherwise are required to be reduced as described in Section 6(a), the adjustment will be made, first, by reducing the amount of base salary and bonus payable pursuant to </w:t>
      </w:r>
      <w:r>
        <w:rPr>
          <w:rFonts w:ascii="Arial" w:cs="Arial" w:eastAsia="Arial" w:hAnsi="Arial"/>
          <w:sz w:val="19"/>
          <w:szCs w:val="19"/>
          <w:b w:val="1"/>
          <w:bCs w:val="1"/>
          <w:color w:val="auto"/>
        </w:rPr>
        <w:t>Section 5(d)(iii)(1) and (2),</w:t>
      </w:r>
      <w:r>
        <w:rPr>
          <w:rFonts w:ascii="Arial" w:cs="Arial" w:eastAsia="Arial" w:hAnsi="Arial"/>
          <w:sz w:val="19"/>
          <w:szCs w:val="19"/>
          <w:color w:val="auto"/>
        </w:rPr>
        <w:t xml:space="preserve"> as applicable; second, if additional reductions are necessary, by reducing the payment of health insurance premium due to Executive pursuant to </w:t>
      </w:r>
      <w:r>
        <w:rPr>
          <w:rFonts w:ascii="Arial" w:cs="Arial" w:eastAsia="Arial" w:hAnsi="Arial"/>
          <w:sz w:val="19"/>
          <w:szCs w:val="19"/>
          <w:b w:val="1"/>
          <w:bCs w:val="1"/>
          <w:color w:val="auto"/>
        </w:rPr>
        <w:t>Section 5(d)(iii)(3)</w:t>
      </w:r>
      <w:r>
        <w:rPr>
          <w:rFonts w:ascii="Arial" w:cs="Arial" w:eastAsia="Arial" w:hAnsi="Arial"/>
          <w:sz w:val="19"/>
          <w:szCs w:val="19"/>
          <w:color w:val="auto"/>
        </w:rPr>
        <w:t xml:space="preserve">, as applicable; and third, if additional reductions are still necessary, by eliminating the accelerated vesting of time-based equity-based awards under </w:t>
      </w:r>
      <w:r>
        <w:rPr>
          <w:rFonts w:ascii="Arial" w:cs="Arial" w:eastAsia="Arial" w:hAnsi="Arial"/>
          <w:sz w:val="19"/>
          <w:szCs w:val="19"/>
          <w:b w:val="1"/>
          <w:bCs w:val="1"/>
          <w:color w:val="auto"/>
        </w:rPr>
        <w:t>Section 5(d)(iii)(4)</w:t>
      </w:r>
      <w:r>
        <w:rPr>
          <w:rFonts w:ascii="Arial" w:cs="Arial" w:eastAsia="Arial" w:hAnsi="Arial"/>
          <w:sz w:val="19"/>
          <w:szCs w:val="19"/>
          <w:color w:val="auto"/>
        </w:rPr>
        <w:t>, if any, starting with those awards for which the amount required to be taken into account under Section 280G is the greatest.</w:t>
      </w:r>
    </w:p>
    <w:p>
      <w:pPr>
        <w:spacing w:after="0" w:line="162" w:lineRule="exact"/>
        <w:rPr>
          <w:sz w:val="20"/>
          <w:szCs w:val="20"/>
          <w:color w:val="auto"/>
        </w:rPr>
      </w:pPr>
    </w:p>
    <w:p>
      <w:pPr>
        <w:jc w:val="both"/>
        <w:ind w:firstLine="1526"/>
        <w:spacing w:after="0" w:line="297" w:lineRule="auto"/>
        <w:rPr>
          <w:sz w:val="20"/>
          <w:szCs w:val="20"/>
          <w:color w:val="auto"/>
        </w:rPr>
      </w:pPr>
      <w:r>
        <w:rPr>
          <w:rFonts w:ascii="Arial" w:cs="Arial" w:eastAsia="Arial" w:hAnsi="Arial"/>
          <w:sz w:val="19"/>
          <w:szCs w:val="19"/>
          <w:color w:val="auto"/>
        </w:rPr>
        <w:t>(c)In the event that there has been an underpayment or overpayment under this Agreement or otherwise as determined by the Accountants, the amount of such underpayment or overpayment shall forthwith be paid to Executive or refunded to the Company, as the case may be, with interest at the applicable federal rate provided for in Section 7872(f)(2) of the Code.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5" w:name="page36"/>
    <w:bookmarkEnd w:id="35"/>
    <w:p>
      <w:pPr>
        <w:jc w:val="both"/>
        <w:ind w:firstLine="885"/>
        <w:spacing w:after="0" w:line="246" w:lineRule="auto"/>
        <w:tabs>
          <w:tab w:leader="none" w:pos="1682"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Proprietary Information Agreement</w:t>
      </w:r>
      <w:r>
        <w:rPr>
          <w:rFonts w:ascii="Arial" w:cs="Arial" w:eastAsia="Arial" w:hAnsi="Arial"/>
          <w:sz w:val="21"/>
          <w:szCs w:val="21"/>
          <w:color w:val="auto"/>
        </w:rPr>
        <w:t>. The terms of the Proprietary Information and Inventions Agreement by and between the Company and the Executive with effective date of August 31, 2011 (the “</w:t>
      </w:r>
      <w:r>
        <w:rPr>
          <w:rFonts w:ascii="Arial" w:cs="Arial" w:eastAsia="Arial" w:hAnsi="Arial"/>
          <w:sz w:val="21"/>
          <w:szCs w:val="21"/>
          <w:b w:val="1"/>
          <w:bCs w:val="1"/>
          <w:color w:val="auto"/>
        </w:rPr>
        <w:t>Proprietary Information Agreement</w:t>
      </w:r>
      <w:r>
        <w:rPr>
          <w:rFonts w:ascii="Arial" w:cs="Arial" w:eastAsia="Arial" w:hAnsi="Arial"/>
          <w:sz w:val="21"/>
          <w:szCs w:val="21"/>
          <w:color w:val="auto"/>
        </w:rPr>
        <w:t>”) and any other similar agreement regarding confidentiality, intellectual property rights, non-competition or non-solicitation between the Company and the Executive, are hereby incorporated by reference and are a material part of this Agreement. The duration of Executive’s covenants set forth in Section 3 (nonsolicitation) and Section 4 (covenant not to compete) of the Proprietary Information Agreement are hereby amended to apply during the full eighteen month period that the Company is making payments provided for under Section 5(d)(ii)(1) or for twenty four months following the end of employment in the event the Company makes the lump sum payment provided for under Section 5(d)(iii)(1).</w:t>
      </w:r>
    </w:p>
    <w:p>
      <w:pPr>
        <w:spacing w:after="0" w:line="396" w:lineRule="exact"/>
        <w:rPr>
          <w:rFonts w:ascii="Arial" w:cs="Arial" w:eastAsia="Arial" w:hAnsi="Arial"/>
          <w:sz w:val="21"/>
          <w:szCs w:val="21"/>
          <w:color w:val="auto"/>
        </w:rPr>
      </w:pPr>
    </w:p>
    <w:p>
      <w:pPr>
        <w:ind w:left="1700" w:hanging="815"/>
        <w:spacing w:after="0"/>
        <w:tabs>
          <w:tab w:leader="none" w:pos="170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06" w:lineRule="exact"/>
        <w:rPr>
          <w:sz w:val="20"/>
          <w:szCs w:val="20"/>
          <w:color w:val="auto"/>
        </w:rPr>
      </w:pPr>
    </w:p>
    <w:p>
      <w:pPr>
        <w:jc w:val="both"/>
        <w:ind w:firstLine="885"/>
        <w:spacing w:after="0" w:line="249" w:lineRule="auto"/>
        <w:tabs>
          <w:tab w:leader="none" w:pos="1757"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Executive represents and warrants to the Company that the Executive’s performance of this Agreement and as an employee of the Company does not and will not breach any noncompetition agreement or any agreement to keep in confidence proprietary information acquired by the Executive in confidence or in trust prior to the Executive's employment by the Company. The Executive represents and warrants to the Company that the Executive has not entered into, and agrees not to enter into, any agreement that conflicts with or violates this Agreement.</w:t>
      </w:r>
    </w:p>
    <w:p>
      <w:pPr>
        <w:spacing w:after="0" w:line="179"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9"/>
          <w:szCs w:val="19"/>
          <w:color w:val="auto"/>
        </w:rPr>
        <w:t>(b) The Executive represents and warrants to the Company that the Executive has not brought and shall not bring with the Executive to the Company, or use in the performance of the Executive's responsibilities for the Company, any materials or documents of a former employer which are not generally available to the public or which did not belong to the Executive prior to the Executive’s employment with the Company, unless the Executive has obtained written authorization from the former employer or other owner for their possession and use and provided the Company with a copy thereof.</w:t>
      </w:r>
    </w:p>
    <w:p>
      <w:pPr>
        <w:spacing w:after="0" w:line="148" w:lineRule="exact"/>
        <w:rPr>
          <w:sz w:val="20"/>
          <w:szCs w:val="20"/>
          <w:color w:val="auto"/>
        </w:rPr>
      </w:pPr>
    </w:p>
    <w:p>
      <w:pPr>
        <w:jc w:val="both"/>
        <w:ind w:firstLine="885"/>
        <w:spacing w:after="0" w:line="248" w:lineRule="auto"/>
        <w:tabs>
          <w:tab w:leader="none" w:pos="1682"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Indemnification by the Executive</w:t>
      </w:r>
      <w:r>
        <w:rPr>
          <w:rFonts w:ascii="Arial" w:cs="Arial" w:eastAsia="Arial" w:hAnsi="Arial"/>
          <w:sz w:val="21"/>
          <w:szCs w:val="21"/>
          <w:color w:val="auto"/>
        </w:rPr>
        <w:t>. To the extent any of Executive’s actions or inactions result in damages to the Company which are not covered under the Company’s then existing indemnification provisions for officers, its Directors and Officers insurance policy (or similar insurance contract), or would be unlawful for the Company to indemnify, then the Executive shall indemnify and hold harmless the Company, its directors, officers, stockholders, agents, and employees against all claims, costs, expenses, liabilities, and lost profits, including amounts paid in settlement, incurred by any of them as a result of the material breach by the Executive of any provision of Section 2, 6 and/or 7 of this Agreement.</w:t>
      </w:r>
    </w:p>
    <w:p>
      <w:pPr>
        <w:spacing w:after="0" w:line="177" w:lineRule="exact"/>
        <w:rPr>
          <w:rFonts w:ascii="Arial" w:cs="Arial" w:eastAsia="Arial" w:hAnsi="Arial"/>
          <w:sz w:val="21"/>
          <w:szCs w:val="21"/>
          <w:color w:val="auto"/>
        </w:rPr>
      </w:pPr>
    </w:p>
    <w:p>
      <w:pPr>
        <w:jc w:val="both"/>
        <w:ind w:firstLine="885"/>
        <w:spacing w:after="0" w:line="279" w:lineRule="auto"/>
        <w:tabs>
          <w:tab w:leader="none" w:pos="1788"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consents, approvals, and other communications to, upon, and between the parties shall be in writing and shall be deemed to have been given, delivered, made, and received when: (a) personally delivered; (b) deposited for next day delivery by Federal Express, or other similar overnight courier services; (c) transmitted via telefacsimile or other similar device to the attention of the Board of Directors of the Company with receipt acknowledged; or (d) three (3) days after being sent or mailed by certified mail, postage prepaid and return receipt requested, addressed to the Company at 900 North Point Parkway, Suite 200, Alpharetta, GA 30005 and to the Executive at the Executive’s last listed address in the payroll records of the Company.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6" w:name="page37"/>
    <w:bookmarkEnd w:id="36"/>
    <w:p>
      <w:pPr>
        <w:ind w:firstLine="885"/>
        <w:spacing w:after="0" w:line="251" w:lineRule="auto"/>
        <w:tabs>
          <w:tab w:leader="none" w:pos="178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Effect</w:t>
      </w:r>
      <w:r>
        <w:rPr>
          <w:rFonts w:ascii="Arial" w:cs="Arial" w:eastAsia="Arial" w:hAnsi="Arial"/>
          <w:sz w:val="22"/>
          <w:szCs w:val="22"/>
          <w:color w:val="auto"/>
        </w:rPr>
        <w:t>. This Agreement shall be binding on and inure to the respective benefit of the Company and its successors and assigns and the Executive and Executive’s personal representatives.</w:t>
      </w:r>
    </w:p>
    <w:p>
      <w:pPr>
        <w:spacing w:after="0" w:line="173" w:lineRule="exact"/>
        <w:rPr>
          <w:rFonts w:ascii="Arial" w:cs="Arial" w:eastAsia="Arial" w:hAnsi="Arial"/>
          <w:sz w:val="22"/>
          <w:szCs w:val="22"/>
          <w:color w:val="auto"/>
        </w:rPr>
      </w:pPr>
    </w:p>
    <w:p>
      <w:pPr>
        <w:jc w:val="both"/>
        <w:ind w:firstLine="885"/>
        <w:spacing w:after="0" w:line="238" w:lineRule="auto"/>
        <w:tabs>
          <w:tab w:leader="none" w:pos="1788"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Proprietary Information Agreement and any other similar agreement regarding confidentiality, intellectual property rights, non-competition or non-solicitation constitute the entire agreement between the parties with respect to the matters set forth herein and supersede all prior agreements and understandings between the parties with respect to the same, including the Original Agreement.</w:t>
      </w:r>
    </w:p>
    <w:p>
      <w:pPr>
        <w:spacing w:after="0" w:line="185" w:lineRule="exact"/>
        <w:rPr>
          <w:rFonts w:ascii="Arial" w:cs="Arial" w:eastAsia="Arial" w:hAnsi="Arial"/>
          <w:sz w:val="22"/>
          <w:szCs w:val="22"/>
          <w:color w:val="auto"/>
        </w:rPr>
      </w:pPr>
    </w:p>
    <w:p>
      <w:pPr>
        <w:ind w:firstLine="885"/>
        <w:spacing w:after="0" w:line="251" w:lineRule="auto"/>
        <w:tabs>
          <w:tab w:leader="none" w:pos="1788"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w:t>
      </w:r>
    </w:p>
    <w:p>
      <w:pPr>
        <w:spacing w:after="0" w:line="173" w:lineRule="exact"/>
        <w:rPr>
          <w:rFonts w:ascii="Arial" w:cs="Arial" w:eastAsia="Arial" w:hAnsi="Arial"/>
          <w:sz w:val="22"/>
          <w:szCs w:val="22"/>
          <w:color w:val="auto"/>
        </w:rPr>
      </w:pPr>
    </w:p>
    <w:p>
      <w:pPr>
        <w:ind w:firstLine="885"/>
        <w:spacing w:after="0" w:line="274" w:lineRule="auto"/>
        <w:tabs>
          <w:tab w:leader="none" w:pos="1788"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Amendment and Waiver</w:t>
      </w:r>
      <w:r>
        <w:rPr>
          <w:rFonts w:ascii="Arial" w:cs="Arial" w:eastAsia="Arial" w:hAnsi="Arial"/>
          <w:sz w:val="21"/>
          <w:szCs w:val="21"/>
          <w:color w:val="auto"/>
        </w:rPr>
        <w:t>. No provision of this Agreement, including the provisions of this Section, may be amended, modified, deleted, or waived in any manner except by a written agreement executed by the parties.</w:t>
      </w:r>
    </w:p>
    <w:p>
      <w:pPr>
        <w:spacing w:after="0" w:line="150" w:lineRule="exact"/>
        <w:rPr>
          <w:rFonts w:ascii="Arial" w:cs="Arial" w:eastAsia="Arial" w:hAnsi="Arial"/>
          <w:sz w:val="21"/>
          <w:szCs w:val="21"/>
          <w:color w:val="auto"/>
        </w:rPr>
      </w:pPr>
    </w:p>
    <w:p>
      <w:pPr>
        <w:jc w:val="both"/>
        <w:ind w:firstLine="885"/>
        <w:spacing w:after="0" w:line="236" w:lineRule="auto"/>
        <w:tabs>
          <w:tab w:leader="none" w:pos="1788"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Section 409A Matters</w:t>
      </w:r>
      <w:r>
        <w:rPr>
          <w:rFonts w:ascii="Arial" w:cs="Arial" w:eastAsia="Arial" w:hAnsi="Arial"/>
          <w:sz w:val="22"/>
          <w:szCs w:val="22"/>
          <w:color w:val="auto"/>
        </w:rPr>
        <w:t>. This Agreement is intended to comply with the requirements of Section 409A of the Internal Revenue Code of 1986, as amended and the Treasury Regulations and other applicable guidance thereunder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409A</w:t>
      </w:r>
      <w:r>
        <w:rPr>
          <w:rFonts w:ascii="Arial" w:cs="Arial" w:eastAsia="Arial" w:hAnsi="Arial"/>
          <w:sz w:val="22"/>
          <w:szCs w:val="22"/>
          <w:color w:val="auto"/>
        </w:rPr>
        <w:t>”). To the extent that there is any ambiguity as to whether this Agreement (or any of its provisions) contravenes one or more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requirements of Section 409A, such provision shall be interpreted and applied in a matter that does not result in a Section 409A violation. Without limiting the generality of the above:</w:t>
      </w:r>
    </w:p>
    <w:p>
      <w:pPr>
        <w:spacing w:after="0" w:line="182" w:lineRule="exact"/>
        <w:rPr>
          <w:sz w:val="20"/>
          <w:szCs w:val="20"/>
          <w:color w:val="auto"/>
        </w:rPr>
      </w:pPr>
    </w:p>
    <w:p>
      <w:pPr>
        <w:jc w:val="both"/>
        <w:ind w:firstLine="1526"/>
        <w:spacing w:after="0" w:line="289" w:lineRule="auto"/>
        <w:rPr>
          <w:sz w:val="20"/>
          <w:szCs w:val="20"/>
          <w:color w:val="auto"/>
        </w:rPr>
      </w:pPr>
      <w:r>
        <w:rPr>
          <w:rFonts w:ascii="Arial" w:cs="Arial" w:eastAsia="Arial" w:hAnsi="Arial"/>
          <w:sz w:val="19"/>
          <w:szCs w:val="19"/>
          <w:color w:val="auto"/>
        </w:rPr>
        <w:t>(a)For clarity, the severance benefits specified in this Agreement (the “</w:t>
      </w:r>
      <w:r>
        <w:rPr>
          <w:rFonts w:ascii="Arial" w:cs="Arial" w:eastAsia="Arial" w:hAnsi="Arial"/>
          <w:sz w:val="19"/>
          <w:szCs w:val="19"/>
          <w:b w:val="1"/>
          <w:bCs w:val="1"/>
          <w:color w:val="auto"/>
        </w:rPr>
        <w:t>Severance Benefits</w:t>
      </w:r>
      <w:r>
        <w:rPr>
          <w:rFonts w:ascii="Arial" w:cs="Arial" w:eastAsia="Arial" w:hAnsi="Arial"/>
          <w:sz w:val="19"/>
          <w:szCs w:val="19"/>
          <w:color w:val="auto"/>
        </w:rPr>
        <w:t>”) are only payable upon a “separation from service” as defined in Section 409A. The Severance Benefits shall be deemed to be series of separate payments, with each installment being treated as a separate payment. The time and form of payment of any compensation may not be deferred or accelerated to the extent it would result in an impermissible acceleration or deferral under Section 409A.</w:t>
      </w:r>
    </w:p>
    <w:p>
      <w:pPr>
        <w:spacing w:after="0" w:line="142" w:lineRule="exact"/>
        <w:rPr>
          <w:sz w:val="20"/>
          <w:szCs w:val="20"/>
          <w:color w:val="auto"/>
        </w:rPr>
      </w:pPr>
    </w:p>
    <w:p>
      <w:pPr>
        <w:jc w:val="both"/>
        <w:ind w:firstLine="1526"/>
        <w:spacing w:after="0" w:line="297" w:lineRule="auto"/>
        <w:rPr>
          <w:sz w:val="20"/>
          <w:szCs w:val="20"/>
          <w:color w:val="auto"/>
        </w:rPr>
      </w:pPr>
      <w:r>
        <w:rPr>
          <w:rFonts w:ascii="Arial" w:cs="Arial" w:eastAsia="Arial" w:hAnsi="Arial"/>
          <w:sz w:val="19"/>
          <w:szCs w:val="19"/>
          <w:color w:val="auto"/>
        </w:rPr>
        <w:t>(b)To the extent this Agreement contains payments which are subject to Section 409A (as opposed to exempt from Section 409A), the Executive’s rights to such payments are not subject to anticipation, alienation, sale, transfer, pledge, encumbrance, attachment or garnishment and, where applicable, may only be transferred by will or the laws of descent and distribution.</w:t>
      </w:r>
    </w:p>
    <w:p>
      <w:pPr>
        <w:spacing w:after="0" w:line="134" w:lineRule="exact"/>
        <w:rPr>
          <w:sz w:val="20"/>
          <w:szCs w:val="20"/>
          <w:color w:val="auto"/>
        </w:rPr>
      </w:pPr>
    </w:p>
    <w:p>
      <w:pPr>
        <w:jc w:val="both"/>
        <w:ind w:firstLine="1526"/>
        <w:spacing w:after="0" w:line="287" w:lineRule="auto"/>
        <w:rPr>
          <w:sz w:val="20"/>
          <w:szCs w:val="20"/>
          <w:color w:val="auto"/>
        </w:rPr>
      </w:pPr>
      <w:r>
        <w:rPr>
          <w:rFonts w:ascii="Arial" w:cs="Arial" w:eastAsia="Arial" w:hAnsi="Arial"/>
          <w:sz w:val="19"/>
          <w:szCs w:val="19"/>
          <w:color w:val="auto"/>
        </w:rPr>
        <w:t>(c)To the extent the Severance Benefits are intended to be exempt from Section 409A as a result of an “involuntary separation from service” under Section 409A, if all conditions necessary to establish the Executive’s entitlement to such Severance Benefits have been satisfied, all Severance Benefits shall be paid or provided in full no later than December 31</w:t>
      </w:r>
      <w:r>
        <w:rPr>
          <w:rFonts w:ascii="Arial" w:cs="Arial" w:eastAsia="Arial" w:hAnsi="Arial"/>
          <w:sz w:val="16"/>
          <w:szCs w:val="16"/>
          <w:color w:val="auto"/>
        </w:rPr>
        <w:t>st</w:t>
      </w:r>
      <w:r>
        <w:rPr>
          <w:rFonts w:ascii="Arial" w:cs="Arial" w:eastAsia="Arial" w:hAnsi="Arial"/>
          <w:sz w:val="19"/>
          <w:szCs w:val="19"/>
          <w:color w:val="auto"/>
        </w:rPr>
        <w:t xml:space="preserve"> of the second calendar year following the calendar year in which the Executive’s employment terminated unless another time period is applicable.</w:t>
      </w:r>
    </w:p>
    <w:p>
      <w:pPr>
        <w:spacing w:after="0" w:line="143" w:lineRule="exact"/>
        <w:rPr>
          <w:sz w:val="20"/>
          <w:szCs w:val="20"/>
          <w:color w:val="auto"/>
        </w:rPr>
      </w:pPr>
    </w:p>
    <w:p>
      <w:pPr>
        <w:jc w:val="both"/>
        <w:ind w:firstLine="1526"/>
        <w:spacing w:after="0" w:line="297" w:lineRule="auto"/>
        <w:rPr>
          <w:sz w:val="20"/>
          <w:szCs w:val="20"/>
          <w:color w:val="auto"/>
        </w:rPr>
      </w:pPr>
      <w:r>
        <w:rPr>
          <w:rFonts w:ascii="Arial" w:cs="Arial" w:eastAsia="Arial" w:hAnsi="Arial"/>
          <w:sz w:val="19"/>
          <w:szCs w:val="19"/>
          <w:color w:val="auto"/>
        </w:rPr>
        <w:t>(d)If the Employee is a “specified employee” (as defined in Section 409A) on the termination date and a delayed payment is required by Section 409A to avoid a prohibited distribution under Section 409A, then no Severance Benefits that constitute “non-qualified deferred compensation” under Section 409A shall be paid until the earlier of (i) the first day of the 7</w:t>
      </w:r>
      <w:r>
        <w:rPr>
          <w:rFonts w:ascii="Arial" w:cs="Arial" w:eastAsia="Arial" w:hAnsi="Arial"/>
          <w:sz w:val="16"/>
          <w:szCs w:val="16"/>
          <w:color w:val="auto"/>
        </w:rPr>
        <w:t>th</w:t>
      </w:r>
      <w:r>
        <w:rPr>
          <w:rFonts w:ascii="Arial" w:cs="Arial" w:eastAsia="Arial" w:hAnsi="Arial"/>
          <w:sz w:val="19"/>
          <w:szCs w:val="19"/>
          <w:color w:val="auto"/>
        </w:rPr>
        <w:t xml:space="preserve"> month</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7" w:name="page38"/>
    <w:bookmarkEnd w:id="37"/>
    <w:p>
      <w:pPr>
        <w:jc w:val="both"/>
        <w:spacing w:after="0" w:line="258" w:lineRule="auto"/>
        <w:rPr>
          <w:sz w:val="20"/>
          <w:szCs w:val="20"/>
          <w:color w:val="auto"/>
        </w:rPr>
      </w:pPr>
      <w:r>
        <w:rPr>
          <w:rFonts w:ascii="Arial" w:cs="Arial" w:eastAsia="Arial" w:hAnsi="Arial"/>
          <w:sz w:val="21"/>
          <w:szCs w:val="21"/>
          <w:color w:val="auto"/>
        </w:rPr>
        <w:t>following the date of the Executive’s “separation from service” as defined in Section 409A, or (ii) the date of the Executive’s death. Upon the expiration of the applicable deferral period, all payments deferred under this clause shall be paid in a lump sum and any remaining severance benefits shall be paid per the schedule specified in this Agreement.</w:t>
      </w:r>
    </w:p>
    <w:p>
      <w:pPr>
        <w:spacing w:after="0" w:line="167" w:lineRule="exact"/>
        <w:rPr>
          <w:sz w:val="20"/>
          <w:szCs w:val="20"/>
          <w:color w:val="auto"/>
        </w:rPr>
      </w:pPr>
    </w:p>
    <w:p>
      <w:pPr>
        <w:jc w:val="both"/>
        <w:ind w:firstLine="1526"/>
        <w:spacing w:after="0" w:line="252" w:lineRule="auto"/>
        <w:rPr>
          <w:sz w:val="20"/>
          <w:szCs w:val="20"/>
          <w:color w:val="auto"/>
        </w:rPr>
      </w:pPr>
      <w:r>
        <w:rPr>
          <w:rFonts w:ascii="Arial" w:cs="Arial" w:eastAsia="Arial" w:hAnsi="Arial"/>
          <w:sz w:val="21"/>
          <w:szCs w:val="21"/>
          <w:color w:val="auto"/>
        </w:rPr>
        <w:t>(e)The Company makes no representation that this Agreement will be exempt from or compliant with Section 409A and makes no affirmative undertaking to preclude Section 409A from applying, but does reserve the right to unilaterally amend this Agreement as may be necessary or advisable to permit the Agreement to be in documentary and operational compliance with Section 409A which determination will be made in the sole discretion of the Company.</w:t>
      </w:r>
    </w:p>
    <w:p>
      <w:pPr>
        <w:spacing w:after="0" w:line="174" w:lineRule="exact"/>
        <w:rPr>
          <w:sz w:val="20"/>
          <w:szCs w:val="20"/>
          <w:color w:val="auto"/>
        </w:rPr>
      </w:pPr>
    </w:p>
    <w:p>
      <w:pPr>
        <w:ind w:firstLine="885"/>
        <w:spacing w:after="0" w:line="328" w:lineRule="auto"/>
        <w:tabs>
          <w:tab w:leader="none" w:pos="1788"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will be governed by and construed according to the laws of the Georgia as such laws are applied to agreements entered into and to be performed entirely within Georgia between Georgia residents.</w:t>
      </w:r>
    </w:p>
    <w:p>
      <w:pPr>
        <w:spacing w:after="0" w:line="105" w:lineRule="exact"/>
        <w:rPr>
          <w:rFonts w:ascii="Arial" w:cs="Arial" w:eastAsia="Arial" w:hAnsi="Arial"/>
          <w:sz w:val="19"/>
          <w:szCs w:val="19"/>
          <w:color w:val="auto"/>
        </w:rPr>
      </w:pPr>
    </w:p>
    <w:p>
      <w:pPr>
        <w:jc w:val="both"/>
        <w:ind w:firstLine="885"/>
        <w:spacing w:after="0" w:line="252" w:lineRule="auto"/>
        <w:tabs>
          <w:tab w:leader="none" w:pos="1788"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Consent to Jurisdiction and Venue</w:t>
      </w:r>
      <w:r>
        <w:rPr>
          <w:rFonts w:ascii="Arial" w:cs="Arial" w:eastAsia="Arial" w:hAnsi="Arial"/>
          <w:sz w:val="21"/>
          <w:szCs w:val="21"/>
          <w:color w:val="auto"/>
        </w:rPr>
        <w:t>. Each of the parties agrees that any suit, action, or proceeding arising out of this Agreement may be instituted against it in the state or federal courts located in Georgia. Each of the parties hereby waives any objection that it may have to the venue of any such suit, action, or proceeding, and each of the parties hereby irrevocably consents to the personal jurisdiction of any such court in any such suit, action, or proceeding.</w:t>
      </w:r>
    </w:p>
    <w:p>
      <w:pPr>
        <w:spacing w:after="0" w:line="174" w:lineRule="exact"/>
        <w:rPr>
          <w:rFonts w:ascii="Arial" w:cs="Arial" w:eastAsia="Arial" w:hAnsi="Arial"/>
          <w:sz w:val="21"/>
          <w:szCs w:val="21"/>
          <w:color w:val="auto"/>
        </w:rPr>
      </w:pPr>
    </w:p>
    <w:p>
      <w:pPr>
        <w:ind w:firstLine="885"/>
        <w:spacing w:after="0" w:line="251" w:lineRule="auto"/>
        <w:tabs>
          <w:tab w:leader="none" w:pos="1788"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more than one counterpart, each of which shall be deemed an original, and all of which shall be deemed a single agreement.</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herein are for convenience only and shall not affect the interpretation of this Agreement.</w:t>
      </w:r>
    </w:p>
    <w:p>
      <w:pPr>
        <w:spacing w:after="0" w:line="206"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[The remainder of this page is intentionally left blank.]</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8" w:name="page39"/>
    <w:bookmarkEnd w:id="38"/>
    <w:p>
      <w:pPr>
        <w:spacing w:after="0"/>
        <w:rPr>
          <w:sz w:val="20"/>
          <w:szCs w:val="20"/>
          <w:color w:val="auto"/>
        </w:rPr>
      </w:pPr>
      <w:r>
        <w:rPr>
          <w:rFonts w:ascii="Arial" w:cs="Arial" w:eastAsia="Arial" w:hAnsi="Arial"/>
          <w:sz w:val="19"/>
          <w:szCs w:val="19"/>
          <w:color w:val="auto"/>
        </w:rPr>
        <w:t>IN WITNESS WHEREOF, the parties have executed this Agreement as of the day and year first above written.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Clearside Biomedical, Inc.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Charles A. Deignan</w:t>
      </w:r>
    </w:p>
    <w:p>
      <w:pPr>
        <w:spacing w:after="0" w:line="238" w:lineRule="auto"/>
        <w:rPr>
          <w:sz w:val="20"/>
          <w:szCs w:val="20"/>
          <w:color w:val="auto"/>
        </w:rPr>
      </w:pPr>
      <w:r>
        <w:rPr>
          <w:rFonts w:ascii="Arial" w:cs="Arial" w:eastAsia="Arial" w:hAnsi="Arial"/>
          <w:sz w:val="22"/>
          <w:szCs w:val="22"/>
          <w:color w:val="auto"/>
        </w:rPr>
        <w:t>Charles A. Deignan</w:t>
      </w:r>
    </w:p>
    <w:p>
      <w:pPr>
        <w:spacing w:after="0"/>
        <w:rPr>
          <w:sz w:val="20"/>
          <w:szCs w:val="20"/>
          <w:color w:val="auto"/>
        </w:rPr>
      </w:pPr>
      <w:r>
        <w:rPr>
          <w:rFonts w:ascii="Arial" w:cs="Arial" w:eastAsia="Arial" w:hAnsi="Arial"/>
          <w:sz w:val="22"/>
          <w:szCs w:val="22"/>
          <w:color w:val="auto"/>
        </w:rPr>
        <w:t>CFO</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Daniel H. White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Daniel H. White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334" w:right="1440" w:bottom="1440" w:gutter="0" w:footer="0" w:header="0"/>
        </w:sectPr>
      </w:pPr>
    </w:p>
    <w:bookmarkStart w:id="39" w:name="page40"/>
    <w:bookmarkEnd w:id="39"/>
    <w:p>
      <w:pPr>
        <w:ind w:left="10360"/>
        <w:spacing w:after="0"/>
        <w:rPr>
          <w:sz w:val="20"/>
          <w:szCs w:val="20"/>
          <w:color w:val="auto"/>
        </w:rPr>
      </w:pPr>
      <w:r>
        <w:rPr>
          <w:rFonts w:ascii="Arial" w:cs="Arial" w:eastAsia="Arial" w:hAnsi="Arial"/>
          <w:sz w:val="19"/>
          <w:szCs w:val="19"/>
          <w:color w:val="auto"/>
        </w:rPr>
        <w:t>Exhibit 10.2</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EXECUTIVE EMPLOYMENT AGREEMENT</w:t>
      </w:r>
    </w:p>
    <w:p>
      <w:pPr>
        <w:spacing w:after="0" w:line="182"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color w:val="auto"/>
        </w:rPr>
        <w:t>THIS AMENDED AND RESTATED EXECUTIVE EMPLOYMENT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effective as of August 3, 2017,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Clearside Biomedical,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Charles A. Deignan (the “</w:t>
      </w:r>
      <w:r>
        <w:rPr>
          <w:rFonts w:ascii="Arial" w:cs="Arial" w:eastAsia="Arial" w:hAnsi="Arial"/>
          <w:sz w:val="22"/>
          <w:szCs w:val="22"/>
          <w:b w:val="1"/>
          <w:bCs w:val="1"/>
          <w:color w:val="auto"/>
        </w:rPr>
        <w:t>Executive</w:t>
      </w:r>
      <w:r>
        <w:rPr>
          <w:rFonts w:ascii="Arial" w:cs="Arial" w:eastAsia="Arial" w:hAnsi="Arial"/>
          <w:sz w:val="22"/>
          <w:szCs w:val="22"/>
          <w:color w:val="auto"/>
        </w:rPr>
        <w:t>”), an individual residing in Georgia.</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 I T N E S S E T H:</w:t>
      </w:r>
    </w:p>
    <w:p>
      <w:pPr>
        <w:spacing w:after="0" w:line="20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WHEREAS, the Company and Executive are parties to that certain Executive Employment Agreement dated January 1, 2015 (the “</w:t>
      </w:r>
      <w:r>
        <w:rPr>
          <w:rFonts w:ascii="Arial" w:cs="Arial" w:eastAsia="Arial" w:hAnsi="Arial"/>
          <w:sz w:val="22"/>
          <w:szCs w:val="22"/>
          <w:b w:val="1"/>
          <w:bCs w:val="1"/>
          <w:color w:val="auto"/>
        </w:rPr>
        <w:t>Original Agreement</w:t>
      </w:r>
      <w:r>
        <w:rPr>
          <w:rFonts w:ascii="Arial" w:cs="Arial" w:eastAsia="Arial" w:hAnsi="Arial"/>
          <w:sz w:val="22"/>
          <w:szCs w:val="22"/>
          <w:color w:val="auto"/>
        </w:rPr>
        <w:t>”);</w:t>
      </w:r>
    </w:p>
    <w:p>
      <w:pPr>
        <w:spacing w:after="0" w:line="173"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WHEREAS, the Company and Executive desire to amend and restated the Original Agreement upon the terms and conditions of this Agreement to set forth the terms and conditions of the Executive’s continued employment from and after the Effective Date.</w:t>
      </w:r>
    </w:p>
    <w:p>
      <w:pPr>
        <w:spacing w:after="0" w:line="186"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NOW, THEREFORE, in consideration of the foregoing, of the mutual promises herein, and of other good and valuable consideration, including the continued employment of the Executive by the Company and the compensation to be received by the Executive from the Company from time to time, and specifically the compensation to be received by the Executive pursuant to Section 4 hereof, the receipt and sufficiency of which are hereby acknowledged, the parties hereto, intending legally to be bound, hereby agree as follows:</w:t>
      </w:r>
    </w:p>
    <w:p>
      <w:pPr>
        <w:spacing w:after="0" w:line="188" w:lineRule="exact"/>
        <w:rPr>
          <w:sz w:val="20"/>
          <w:szCs w:val="20"/>
          <w:color w:val="auto"/>
        </w:rPr>
      </w:pPr>
    </w:p>
    <w:p>
      <w:pPr>
        <w:ind w:firstLine="885"/>
        <w:spacing w:after="0" w:line="251" w:lineRule="auto"/>
        <w:tabs>
          <w:tab w:leader="none" w:pos="1682"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 The Company hereby employs the Executive and the Executive hereby accepts employment as the Chief Financial Officer of the Company upon the terms and conditions of this Agreement.</w:t>
      </w:r>
    </w:p>
    <w:p>
      <w:pPr>
        <w:spacing w:after="0" w:line="173" w:lineRule="exact"/>
        <w:rPr>
          <w:rFonts w:ascii="Arial" w:cs="Arial" w:eastAsia="Arial" w:hAnsi="Arial"/>
          <w:sz w:val="22"/>
          <w:szCs w:val="22"/>
          <w:color w:val="auto"/>
        </w:rPr>
      </w:pPr>
    </w:p>
    <w:p>
      <w:pPr>
        <w:jc w:val="both"/>
        <w:ind w:firstLine="885"/>
        <w:spacing w:after="0" w:line="273" w:lineRule="auto"/>
        <w:tabs>
          <w:tab w:leader="none" w:pos="1682"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Duties</w:t>
      </w:r>
      <w:r>
        <w:rPr>
          <w:rFonts w:ascii="Arial" w:cs="Arial" w:eastAsia="Arial" w:hAnsi="Arial"/>
          <w:sz w:val="19"/>
          <w:szCs w:val="19"/>
          <w:color w:val="auto"/>
        </w:rPr>
        <w:t>. The Executive shall faithfully perform all duties of the Company related to the position or positions held by the Executive, including but not limited to all duties set forth in this Agreement and/or in the Bylaws of the Company related to the position or positions held by the Executive and all additional duties that are prescribed from time to time by the Chief Executive Officer of the Company. The Executive shall devote the Executive’s full time and attention to the performance of the Executive’s duties and responsibilities on behalf of the Company and in furtherance of its best interests; provided, however, that the Executive, subject to the Executive’s obligations hereunder, shall also be permitted to make personal investments, perform reasonable volunteer services and, with the prior consent of the Company, serve on outside boards of directors for non-profit corporations. The Executive shall comply with all Company policies, standards, rules and regulations (the “</w:t>
      </w:r>
      <w:r>
        <w:rPr>
          <w:rFonts w:ascii="Arial" w:cs="Arial" w:eastAsia="Arial" w:hAnsi="Arial"/>
          <w:sz w:val="19"/>
          <w:szCs w:val="19"/>
          <w:b w:val="1"/>
          <w:bCs w:val="1"/>
          <w:color w:val="auto"/>
        </w:rPr>
        <w:t>Company Policies</w:t>
      </w:r>
      <w:r>
        <w:rPr>
          <w:rFonts w:ascii="Arial" w:cs="Arial" w:eastAsia="Arial" w:hAnsi="Arial"/>
          <w:sz w:val="19"/>
          <w:szCs w:val="19"/>
          <w:color w:val="auto"/>
        </w:rPr>
        <w:t>”) and all applicable government laws, rules and regulations that are now or hereafter in effect. The Executive acknowledges receipt of copies of all written Company Policies that are in effect as of the date of this Agreement.</w:t>
      </w:r>
    </w:p>
    <w:p>
      <w:pPr>
        <w:spacing w:after="0" w:line="161" w:lineRule="exact"/>
        <w:rPr>
          <w:rFonts w:ascii="Arial" w:cs="Arial" w:eastAsia="Arial" w:hAnsi="Arial"/>
          <w:sz w:val="19"/>
          <w:szCs w:val="19"/>
          <w:color w:val="auto"/>
        </w:rPr>
      </w:pPr>
    </w:p>
    <w:p>
      <w:pPr>
        <w:jc w:val="both"/>
        <w:ind w:firstLine="885"/>
        <w:spacing w:after="0" w:line="287" w:lineRule="auto"/>
        <w:tabs>
          <w:tab w:leader="none" w:pos="1682"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Unless earlier terminated as provided herein, the initial term of this Agreement shall commence on the Effective Date and shall continue until December 31, 2017. Thereafter, this Agreement shall automatically renew on a year-to-year basis on the same terms and conditions set forth herein unless: (a) earlier terminated or amended as provided herein or (b) either party gives written notice of non-renewal at least sixty (60) days prior to the end of the initial term or any renewal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spacing w:after="0"/>
        <w:rPr>
          <w:sz w:val="20"/>
          <w:szCs w:val="20"/>
          <w:color w:val="auto"/>
        </w:rPr>
      </w:pPr>
      <w:r>
        <w:rPr>
          <w:rFonts w:ascii="Arial" w:cs="Arial" w:eastAsia="Arial" w:hAnsi="Arial"/>
          <w:sz w:val="21"/>
          <w:szCs w:val="21"/>
          <w:color w:val="auto"/>
        </w:rPr>
        <w:t>term of this Agreement. The initial term of this Agreement and all renewals thereof are referred to herein as the “</w:t>
      </w:r>
      <w:r>
        <w:rPr>
          <w:rFonts w:ascii="Arial" w:cs="Arial" w:eastAsia="Arial" w:hAnsi="Arial"/>
          <w:sz w:val="21"/>
          <w:szCs w:val="21"/>
          <w:b w:val="1"/>
          <w:bCs w:val="1"/>
          <w:color w:val="auto"/>
        </w:rPr>
        <w:t>Term</w:t>
      </w:r>
      <w:r>
        <w:rPr>
          <w:rFonts w:ascii="Arial" w:cs="Arial" w:eastAsia="Arial" w:hAnsi="Arial"/>
          <w:sz w:val="21"/>
          <w:szCs w:val="21"/>
          <w:color w:val="auto"/>
        </w:rPr>
        <w:t>.”</w:t>
      </w:r>
    </w:p>
    <w:p>
      <w:pPr>
        <w:spacing w:after="0" w:line="224" w:lineRule="exact"/>
        <w:rPr>
          <w:sz w:val="20"/>
          <w:szCs w:val="20"/>
          <w:color w:val="auto"/>
        </w:rPr>
      </w:pPr>
    </w:p>
    <w:p>
      <w:pPr>
        <w:ind w:firstLine="885"/>
        <w:spacing w:after="0" w:line="274" w:lineRule="auto"/>
        <w:tabs>
          <w:tab w:leader="none" w:pos="1682"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Compensation</w:t>
      </w:r>
      <w:r>
        <w:rPr>
          <w:rFonts w:ascii="Arial" w:cs="Arial" w:eastAsia="Arial" w:hAnsi="Arial"/>
          <w:sz w:val="21"/>
          <w:szCs w:val="21"/>
          <w:color w:val="auto"/>
        </w:rPr>
        <w:t>. During the Term, as compensation for the services rendered by the Executive under this Agreement, the Executive shall be entitled to receive the following (all payments are subject to applicable withholdings)</w:t>
      </w:r>
    </w:p>
    <w:p>
      <w:pPr>
        <w:spacing w:after="0" w:line="15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(a)</w:t>
      </w:r>
      <w:r>
        <w:rPr>
          <w:rFonts w:ascii="Arial" w:cs="Arial" w:eastAsia="Arial" w:hAnsi="Arial"/>
          <w:sz w:val="21"/>
          <w:szCs w:val="21"/>
          <w:u w:val="single" w:color="auto"/>
          <w:color w:val="auto"/>
        </w:rPr>
        <w:t>Base Salary</w:t>
      </w:r>
      <w:r>
        <w:rPr>
          <w:rFonts w:ascii="Arial" w:cs="Arial" w:eastAsia="Arial" w:hAnsi="Arial"/>
          <w:sz w:val="21"/>
          <w:szCs w:val="21"/>
          <w:color w:val="auto"/>
        </w:rPr>
        <w:t>. The Executive shall receive a monthly salary at a rate of $24,135.25 (equal to an annual salary rate of $289,623) payable in accordance with the then-current payroll schedule of the Company (the “</w:t>
      </w:r>
      <w:r>
        <w:rPr>
          <w:rFonts w:ascii="Arial" w:cs="Arial" w:eastAsia="Arial" w:hAnsi="Arial"/>
          <w:sz w:val="21"/>
          <w:szCs w:val="21"/>
          <w:b w:val="1"/>
          <w:bCs w:val="1"/>
          <w:color w:val="auto"/>
        </w:rPr>
        <w:t>Base Salary</w:t>
      </w:r>
      <w:r>
        <w:rPr>
          <w:rFonts w:ascii="Arial" w:cs="Arial" w:eastAsia="Arial" w:hAnsi="Arial"/>
          <w:sz w:val="21"/>
          <w:szCs w:val="21"/>
          <w:color w:val="auto"/>
        </w:rPr>
        <w:t>”). The Executive's salary may be increased from time to time by the Board of Directors of the Company (the “</w:t>
      </w:r>
      <w:r>
        <w:rPr>
          <w:rFonts w:ascii="Arial" w:cs="Arial" w:eastAsia="Arial" w:hAnsi="Arial"/>
          <w:sz w:val="21"/>
          <w:szCs w:val="21"/>
          <w:b w:val="1"/>
          <w:bCs w:val="1"/>
          <w:color w:val="auto"/>
        </w:rPr>
        <w:t>Board</w:t>
      </w:r>
      <w:r>
        <w:rPr>
          <w:rFonts w:ascii="Arial" w:cs="Arial" w:eastAsia="Arial" w:hAnsi="Arial"/>
          <w:sz w:val="21"/>
          <w:szCs w:val="21"/>
          <w:color w:val="auto"/>
        </w:rPr>
        <w:t>”).</w:t>
      </w:r>
    </w:p>
    <w:p>
      <w:pPr>
        <w:spacing w:after="0" w:line="167" w:lineRule="exact"/>
        <w:rPr>
          <w:sz w:val="20"/>
          <w:szCs w:val="20"/>
          <w:color w:val="auto"/>
        </w:rPr>
      </w:pPr>
    </w:p>
    <w:p>
      <w:pPr>
        <w:jc w:val="both"/>
        <w:ind w:firstLine="1526"/>
        <w:spacing w:after="0" w:line="279" w:lineRule="auto"/>
        <w:rPr>
          <w:sz w:val="20"/>
          <w:szCs w:val="20"/>
          <w:color w:val="auto"/>
        </w:rPr>
      </w:pPr>
      <w:r>
        <w:rPr>
          <w:rFonts w:ascii="Arial" w:cs="Arial" w:eastAsia="Arial" w:hAnsi="Arial"/>
          <w:sz w:val="19"/>
          <w:szCs w:val="19"/>
          <w:color w:val="auto"/>
        </w:rPr>
        <w:t>(b)</w:t>
      </w:r>
      <w:r>
        <w:rPr>
          <w:rFonts w:ascii="Arial" w:cs="Arial" w:eastAsia="Arial" w:hAnsi="Arial"/>
          <w:sz w:val="19"/>
          <w:szCs w:val="19"/>
          <w:u w:val="single" w:color="auto"/>
          <w:color w:val="auto"/>
        </w:rPr>
        <w:t>Bonuses</w:t>
      </w:r>
      <w:r>
        <w:rPr>
          <w:rFonts w:ascii="Arial" w:cs="Arial" w:eastAsia="Arial" w:hAnsi="Arial"/>
          <w:sz w:val="19"/>
          <w:szCs w:val="19"/>
          <w:color w:val="auto"/>
        </w:rPr>
        <w:t>. The Executive shall be eligible to participate in all bonus or similar incentive plans adopted by the Board. The amount awarded, if any, to the Executive under any bonus or incentive plan shall be in the discretion of the Board or any committee administering such plan, based on its assessment of the Executive’s and the Company’s performance during the relevant period, but it is the expectation of the Company that any such bonus would be up to 35% of the Executive’s then-current annual Base Salary (the “</w:t>
      </w:r>
      <w:r>
        <w:rPr>
          <w:rFonts w:ascii="Arial" w:cs="Arial" w:eastAsia="Arial" w:hAnsi="Arial"/>
          <w:sz w:val="19"/>
          <w:szCs w:val="19"/>
          <w:b w:val="1"/>
          <w:bCs w:val="1"/>
          <w:color w:val="auto"/>
        </w:rPr>
        <w:t>Target Bonus</w:t>
      </w:r>
      <w:r>
        <w:rPr>
          <w:rFonts w:ascii="Arial" w:cs="Arial" w:eastAsia="Arial" w:hAnsi="Arial"/>
          <w:sz w:val="19"/>
          <w:szCs w:val="19"/>
          <w:color w:val="auto"/>
        </w:rPr>
        <w:t>”). If a bonus is awarded, unless otherwise specifically provided by the Board or committee administering such plan, it shall be paid between January 1 and March 15 of the year following the year in which such bonus was earned.</w:t>
      </w:r>
    </w:p>
    <w:p>
      <w:pPr>
        <w:spacing w:after="0" w:line="151"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(c)</w:t>
      </w:r>
      <w:r>
        <w:rPr>
          <w:rFonts w:ascii="Arial" w:cs="Arial" w:eastAsia="Arial" w:hAnsi="Arial"/>
          <w:sz w:val="22"/>
          <w:szCs w:val="22"/>
          <w:u w:val="single" w:color="auto"/>
          <w:color w:val="auto"/>
        </w:rPr>
        <w:t>Options</w:t>
      </w:r>
      <w:r>
        <w:rPr>
          <w:rFonts w:ascii="Arial" w:cs="Arial" w:eastAsia="Arial" w:hAnsi="Arial"/>
          <w:sz w:val="22"/>
          <w:szCs w:val="22"/>
          <w:color w:val="auto"/>
        </w:rPr>
        <w:t>. In connection with the Executive’s employment, the Company has issued to the Executive options to purchase shares of the common stock of the Company (the “</w:t>
      </w:r>
      <w:r>
        <w:rPr>
          <w:rFonts w:ascii="Arial" w:cs="Arial" w:eastAsia="Arial" w:hAnsi="Arial"/>
          <w:sz w:val="22"/>
          <w:szCs w:val="22"/>
          <w:b w:val="1"/>
          <w:bCs w:val="1"/>
          <w:color w:val="auto"/>
        </w:rPr>
        <w:t>Options</w:t>
      </w:r>
      <w:r>
        <w:rPr>
          <w:rFonts w:ascii="Arial" w:cs="Arial" w:eastAsia="Arial" w:hAnsi="Arial"/>
          <w:sz w:val="22"/>
          <w:szCs w:val="22"/>
          <w:color w:val="auto"/>
        </w:rPr>
        <w:t>”). The Options have vested or shall vest in accordance with the terms of the stock option Agreements. During the Term of the Agreement, Executive will be eligible to receive additional stock options, restricted stock grants, or other equity incentive awards under or outside of any current or successor equity incentive plans of the Company, as the Board in its sole discretion determines to be appropriate (any such awards, collectively with the Options, “</w:t>
      </w:r>
      <w:r>
        <w:rPr>
          <w:rFonts w:ascii="Arial" w:cs="Arial" w:eastAsia="Arial" w:hAnsi="Arial"/>
          <w:sz w:val="22"/>
          <w:szCs w:val="22"/>
          <w:b w:val="1"/>
          <w:bCs w:val="1"/>
          <w:color w:val="auto"/>
        </w:rPr>
        <w:t>Equity</w:t>
      </w:r>
      <w:r>
        <w:rPr>
          <w:rFonts w:ascii="Arial" w:cs="Arial" w:eastAsia="Arial" w:hAnsi="Arial"/>
          <w:sz w:val="22"/>
          <w:szCs w:val="22"/>
          <w:color w:val="auto"/>
        </w:rPr>
        <w:t xml:space="preserve"> </w:t>
      </w:r>
      <w:r>
        <w:rPr>
          <w:rFonts w:ascii="Arial" w:cs="Arial" w:eastAsia="Arial" w:hAnsi="Arial"/>
          <w:sz w:val="22"/>
          <w:szCs w:val="22"/>
          <w:b w:val="1"/>
          <w:bCs w:val="1"/>
          <w:color w:val="auto"/>
        </w:rPr>
        <w:t>Awards</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(d)</w:t>
      </w:r>
      <w:r>
        <w:rPr>
          <w:rFonts w:ascii="Arial" w:cs="Arial" w:eastAsia="Arial" w:hAnsi="Arial"/>
          <w:sz w:val="21"/>
          <w:szCs w:val="21"/>
          <w:u w:val="single" w:color="auto"/>
          <w:color w:val="auto"/>
        </w:rPr>
        <w:t>Benefits</w:t>
      </w:r>
      <w:r>
        <w:rPr>
          <w:rFonts w:ascii="Arial" w:cs="Arial" w:eastAsia="Arial" w:hAnsi="Arial"/>
          <w:sz w:val="21"/>
          <w:szCs w:val="21"/>
          <w:color w:val="auto"/>
        </w:rPr>
        <w:t>. The Executive shall be entitled to receive those benefits provided from time to time to other executive employees of the Company, in accordance with the terms and conditions of the applicable plan documents; provided that the Executive meets the eligibility requirements thereof. All such benefits are subject to amendment or termination from time to time by the Company without the consent of the Executive or any other employee of the Company.</w:t>
      </w:r>
    </w:p>
    <w:p>
      <w:pPr>
        <w:spacing w:after="0" w:line="174"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 xml:space="preserve">(e) </w:t>
      </w:r>
      <w:r>
        <w:rPr>
          <w:rFonts w:ascii="Arial" w:cs="Arial" w:eastAsia="Arial" w:hAnsi="Arial"/>
          <w:sz w:val="19"/>
          <w:szCs w:val="19"/>
          <w:u w:val="single" w:color="auto"/>
          <w:color w:val="auto"/>
        </w:rPr>
        <w:t>Vacation</w:t>
      </w:r>
      <w:r>
        <w:rPr>
          <w:rFonts w:ascii="Arial" w:cs="Arial" w:eastAsia="Arial" w:hAnsi="Arial"/>
          <w:sz w:val="19"/>
          <w:szCs w:val="19"/>
          <w:color w:val="auto"/>
        </w:rPr>
        <w:t xml:space="preserve">. The Executive shall be entitled to four (4) weeks paid vacation per calendar year (with the vacation for any partial year being prorated) and shall be entitled to carry over one-half of the total Vacation days earned in one calendar year to the subsequent calendar year;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no event may the Executive carry over more than two</w:t>
      </w:r>
    </w:p>
    <w:p>
      <w:pPr>
        <w:spacing w:after="0" w:line="2" w:lineRule="exact"/>
        <w:rPr>
          <w:sz w:val="20"/>
          <w:szCs w:val="20"/>
          <w:color w:val="auto"/>
        </w:rPr>
      </w:pPr>
    </w:p>
    <w:p>
      <w:pPr>
        <w:ind w:firstLine="8"/>
        <w:spacing w:after="0" w:line="237" w:lineRule="auto"/>
        <w:tabs>
          <w:tab w:leader="none" w:pos="311" w:val="left"/>
        </w:tabs>
        <w:numPr>
          <w:ilvl w:val="0"/>
          <w:numId w:val="32"/>
        </w:numPr>
        <w:rPr>
          <w:rFonts w:ascii="Arial" w:cs="Arial" w:eastAsia="Arial" w:hAnsi="Arial"/>
          <w:sz w:val="22"/>
          <w:szCs w:val="22"/>
          <w:color w:val="auto"/>
        </w:rPr>
      </w:pPr>
      <w:r>
        <w:rPr>
          <w:rFonts w:ascii="Arial" w:cs="Arial" w:eastAsia="Arial" w:hAnsi="Arial"/>
          <w:sz w:val="22"/>
          <w:szCs w:val="22"/>
          <w:color w:val="auto"/>
        </w:rPr>
        <w:t>weeks of paid vacation into a subsequent year. Upon the termination of the Executive’s employment with the Company, no cash shall be paid in lieu of accrued but unused vacation.</w:t>
      </w:r>
    </w:p>
    <w:p>
      <w:pPr>
        <w:spacing w:after="0" w:line="184" w:lineRule="exact"/>
        <w:rPr>
          <w:rFonts w:ascii="Arial" w:cs="Arial" w:eastAsia="Arial" w:hAnsi="Arial"/>
          <w:sz w:val="22"/>
          <w:szCs w:val="22"/>
          <w:color w:val="auto"/>
        </w:rPr>
      </w:pPr>
    </w:p>
    <w:p>
      <w:pPr>
        <w:ind w:left="920" w:hanging="264"/>
        <w:spacing w:after="0"/>
        <w:tabs>
          <w:tab w:leader="none" w:pos="920"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Annual Physical Exam</w:t>
      </w:r>
      <w:r>
        <w:rPr>
          <w:rFonts w:ascii="Arial" w:cs="Arial" w:eastAsia="Arial" w:hAnsi="Arial"/>
          <w:sz w:val="19"/>
          <w:szCs w:val="19"/>
          <w:color w:val="auto"/>
        </w:rPr>
        <w:t>. The Company shall bear the cost of one comprehensive physical examination per calendar year.</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w:t>
      </w:r>
      <w:r>
        <w:rPr>
          <w:rFonts w:ascii="Arial" w:cs="Arial" w:eastAsia="Arial" w:hAnsi="Arial"/>
          <w:sz w:val="22"/>
          <w:szCs w:val="22"/>
          <w:u w:val="single" w:color="auto"/>
          <w:color w:val="auto"/>
        </w:rPr>
        <w:t>Business Expenses</w:t>
      </w:r>
      <w:r>
        <w:rPr>
          <w:rFonts w:ascii="Arial" w:cs="Arial" w:eastAsia="Arial" w:hAnsi="Arial"/>
          <w:sz w:val="22"/>
          <w:szCs w:val="22"/>
          <w:color w:val="auto"/>
        </w:rPr>
        <w:t>. The Company shall pay, or reimburse the Executive for,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1" w:name="page42"/>
    <w:bookmarkEnd w:id="41"/>
    <w:p>
      <w:pPr>
        <w:jc w:val="both"/>
        <w:spacing w:after="0"/>
        <w:rPr>
          <w:sz w:val="20"/>
          <w:szCs w:val="20"/>
          <w:color w:val="auto"/>
        </w:rPr>
      </w:pPr>
      <w:r>
        <w:rPr>
          <w:rFonts w:ascii="Arial" w:cs="Arial" w:eastAsia="Arial" w:hAnsi="Arial"/>
          <w:sz w:val="22"/>
          <w:szCs w:val="22"/>
          <w:color w:val="auto"/>
        </w:rPr>
        <w:t>all reasonable expenses incurred by the Executive directly related to conduct of the business of the Company; provided that, the Executive complies with the Company’s policies for the reimbursement or advancement of business expenses that are now or hereafter in effect.</w:t>
      </w:r>
    </w:p>
    <w:p>
      <w:pPr>
        <w:spacing w:after="0" w:line="186" w:lineRule="exact"/>
        <w:rPr>
          <w:sz w:val="20"/>
          <w:szCs w:val="20"/>
          <w:color w:val="auto"/>
        </w:rPr>
      </w:pPr>
    </w:p>
    <w:p>
      <w:pPr>
        <w:ind w:firstLine="885"/>
        <w:spacing w:after="0" w:line="251" w:lineRule="auto"/>
        <w:tabs>
          <w:tab w:leader="none" w:pos="1682"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This Agreement and the Executive’s employment by the Company shall or may be terminated, as the case may be,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ind w:left="1760"/>
              <w:spacing w:after="0"/>
              <w:rPr>
                <w:sz w:val="20"/>
                <w:szCs w:val="20"/>
                <w:color w:val="auto"/>
              </w:rPr>
            </w:pPr>
            <w:r>
              <w:rPr>
                <w:rFonts w:ascii="Arial" w:cs="Arial" w:eastAsia="Arial" w:hAnsi="Arial"/>
                <w:sz w:val="22"/>
                <w:szCs w:val="22"/>
                <w:color w:val="auto"/>
              </w:rPr>
              <w:t>(a)</w:t>
            </w:r>
          </w:p>
        </w:tc>
        <w:tc>
          <w:tcPr>
            <w:tcW w:w="3320" w:type="dxa"/>
            <w:vAlign w:val="bottom"/>
            <w:gridSpan w:val="3"/>
          </w:tcPr>
          <w:p>
            <w:pPr>
              <w:spacing w:after="0"/>
              <w:rPr>
                <w:sz w:val="20"/>
                <w:szCs w:val="20"/>
                <w:color w:val="auto"/>
              </w:rPr>
            </w:pPr>
            <w:r>
              <w:rPr>
                <w:rFonts w:ascii="Arial" w:cs="Arial" w:eastAsia="Arial" w:hAnsi="Arial"/>
                <w:sz w:val="22"/>
                <w:szCs w:val="22"/>
                <w:color w:val="auto"/>
                <w:w w:val="98"/>
              </w:rPr>
              <w:t>Termination upon Expiration of the</w:t>
            </w:r>
          </w:p>
        </w:tc>
        <w:tc>
          <w:tcPr>
            <w:tcW w:w="1200" w:type="dxa"/>
            <w:vAlign w:val="bottom"/>
            <w:gridSpan w:val="2"/>
          </w:tcPr>
          <w:p>
            <w:pPr>
              <w:ind w:left="40"/>
              <w:spacing w:after="0"/>
              <w:rPr>
                <w:sz w:val="20"/>
                <w:szCs w:val="20"/>
                <w:color w:val="auto"/>
              </w:rPr>
            </w:pPr>
            <w:r>
              <w:rPr>
                <w:rFonts w:ascii="Arial" w:cs="Arial" w:eastAsia="Arial" w:hAnsi="Arial"/>
                <w:sz w:val="22"/>
                <w:szCs w:val="22"/>
                <w:color w:val="auto"/>
              </w:rPr>
              <w:t>Term.  This</w:t>
            </w:r>
          </w:p>
        </w:tc>
        <w:tc>
          <w:tcPr>
            <w:tcW w:w="1100" w:type="dxa"/>
            <w:vAlign w:val="bottom"/>
          </w:tcPr>
          <w:p>
            <w:pPr>
              <w:ind w:left="80"/>
              <w:spacing w:after="0"/>
              <w:rPr>
                <w:sz w:val="20"/>
                <w:szCs w:val="20"/>
                <w:color w:val="auto"/>
              </w:rPr>
            </w:pPr>
            <w:r>
              <w:rPr>
                <w:rFonts w:ascii="Arial" w:cs="Arial" w:eastAsia="Arial" w:hAnsi="Arial"/>
                <w:sz w:val="22"/>
                <w:szCs w:val="22"/>
                <w:color w:val="auto"/>
                <w:w w:val="92"/>
              </w:rPr>
              <w:t>Agreement</w:t>
            </w:r>
          </w:p>
        </w:tc>
        <w:tc>
          <w:tcPr>
            <w:tcW w:w="420" w:type="dxa"/>
            <w:vAlign w:val="bottom"/>
          </w:tcPr>
          <w:p>
            <w:pPr>
              <w:ind w:left="40"/>
              <w:spacing w:after="0"/>
              <w:rPr>
                <w:sz w:val="20"/>
                <w:szCs w:val="20"/>
                <w:color w:val="auto"/>
              </w:rPr>
            </w:pPr>
            <w:r>
              <w:rPr>
                <w:rFonts w:ascii="Arial" w:cs="Arial" w:eastAsia="Arial" w:hAnsi="Arial"/>
                <w:sz w:val="22"/>
                <w:szCs w:val="22"/>
                <w:color w:val="auto"/>
                <w:w w:val="97"/>
              </w:rPr>
              <w:t>and</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w w:val="94"/>
              </w:rPr>
              <w:t>the Executive’s</w:t>
            </w:r>
          </w:p>
        </w:tc>
      </w:tr>
      <w:tr>
        <w:trPr>
          <w:trHeight w:val="20"/>
        </w:trPr>
        <w:tc>
          <w:tcPr>
            <w:tcW w:w="3960" w:type="dxa"/>
            <w:vAlign w:val="bottom"/>
            <w:tcBorders>
              <w:right w:val="single" w:sz="8" w:color="auto"/>
            </w:tcBorders>
          </w:tcPr>
          <w:p>
            <w:pPr>
              <w:spacing w:after="0" w:line="20" w:lineRule="exact"/>
              <w:rPr>
                <w:sz w:val="1"/>
                <w:szCs w:val="1"/>
                <w:color w:val="auto"/>
              </w:rPr>
            </w:pPr>
          </w:p>
        </w:tc>
        <w:tc>
          <w:tcPr>
            <w:tcW w:w="2660" w:type="dxa"/>
            <w:vAlign w:val="bottom"/>
            <w:gridSpan w:val="2"/>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4"/>
        </w:trPr>
        <w:tc>
          <w:tcPr>
            <w:tcW w:w="8480" w:type="dxa"/>
            <w:vAlign w:val="bottom"/>
            <w:gridSpan w:val="6"/>
          </w:tcPr>
          <w:p>
            <w:pPr>
              <w:spacing w:after="0"/>
              <w:rPr>
                <w:sz w:val="20"/>
                <w:szCs w:val="20"/>
                <w:color w:val="auto"/>
              </w:rPr>
            </w:pPr>
            <w:r>
              <w:rPr>
                <w:rFonts w:ascii="Arial" w:cs="Arial" w:eastAsia="Arial" w:hAnsi="Arial"/>
                <w:sz w:val="22"/>
                <w:szCs w:val="22"/>
                <w:color w:val="auto"/>
                <w:w w:val="92"/>
              </w:rPr>
              <w:t>employment by the Company shall terminate upon the expiration of the Term, unless renewed.</w:t>
            </w: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409"/>
        </w:trPr>
        <w:tc>
          <w:tcPr>
            <w:tcW w:w="3960" w:type="dxa"/>
            <w:vAlign w:val="bottom"/>
          </w:tcPr>
          <w:p>
            <w:pPr>
              <w:ind w:left="1760"/>
              <w:spacing w:after="0"/>
              <w:rPr>
                <w:sz w:val="20"/>
                <w:szCs w:val="20"/>
                <w:color w:val="auto"/>
              </w:rPr>
            </w:pPr>
            <w:r>
              <w:rPr>
                <w:rFonts w:ascii="Arial" w:cs="Arial" w:eastAsia="Arial" w:hAnsi="Arial"/>
                <w:sz w:val="22"/>
                <w:szCs w:val="22"/>
                <w:color w:val="auto"/>
              </w:rPr>
              <w:t>(b)</w:t>
            </w:r>
          </w:p>
        </w:tc>
        <w:tc>
          <w:tcPr>
            <w:tcW w:w="1760" w:type="dxa"/>
            <w:vAlign w:val="bottom"/>
          </w:tcPr>
          <w:p>
            <w:pPr>
              <w:spacing w:after="0"/>
              <w:rPr>
                <w:sz w:val="20"/>
                <w:szCs w:val="20"/>
                <w:color w:val="auto"/>
              </w:rPr>
            </w:pPr>
            <w:r>
              <w:rPr>
                <w:rFonts w:ascii="Arial" w:cs="Arial" w:eastAsia="Arial" w:hAnsi="Arial"/>
                <w:sz w:val="22"/>
                <w:szCs w:val="22"/>
                <w:color w:val="auto"/>
                <w:w w:val="95"/>
              </w:rPr>
              <w:t>Termination by the</w:t>
            </w:r>
          </w:p>
        </w:tc>
        <w:tc>
          <w:tcPr>
            <w:tcW w:w="1560" w:type="dxa"/>
            <w:vAlign w:val="bottom"/>
            <w:gridSpan w:val="2"/>
          </w:tcPr>
          <w:p>
            <w:pPr>
              <w:ind w:left="60"/>
              <w:spacing w:after="0"/>
              <w:rPr>
                <w:sz w:val="20"/>
                <w:szCs w:val="20"/>
                <w:color w:val="auto"/>
              </w:rPr>
            </w:pPr>
            <w:r>
              <w:rPr>
                <w:rFonts w:ascii="Arial" w:cs="Arial" w:eastAsia="Arial" w:hAnsi="Arial"/>
                <w:sz w:val="22"/>
                <w:szCs w:val="22"/>
                <w:color w:val="auto"/>
                <w:w w:val="97"/>
              </w:rPr>
              <w:t>Executive.  The</w:t>
            </w:r>
          </w:p>
        </w:tc>
        <w:tc>
          <w:tcPr>
            <w:tcW w:w="2300" w:type="dxa"/>
            <w:vAlign w:val="bottom"/>
            <w:gridSpan w:val="3"/>
          </w:tcPr>
          <w:p>
            <w:pPr>
              <w:ind w:left="40"/>
              <w:spacing w:after="0"/>
              <w:rPr>
                <w:sz w:val="20"/>
                <w:szCs w:val="20"/>
                <w:color w:val="auto"/>
              </w:rPr>
            </w:pPr>
            <w:r>
              <w:rPr>
                <w:rFonts w:ascii="Arial" w:cs="Arial" w:eastAsia="Arial" w:hAnsi="Arial"/>
                <w:sz w:val="22"/>
                <w:szCs w:val="22"/>
                <w:color w:val="auto"/>
                <w:w w:val="92"/>
              </w:rPr>
              <w:t>Executive may terminate</w:t>
            </w:r>
          </w:p>
        </w:tc>
        <w:tc>
          <w:tcPr>
            <w:tcW w:w="420" w:type="dxa"/>
            <w:vAlign w:val="bottom"/>
          </w:tcPr>
          <w:p>
            <w:pPr>
              <w:ind w:left="80"/>
              <w:spacing w:after="0"/>
              <w:rPr>
                <w:sz w:val="20"/>
                <w:szCs w:val="20"/>
                <w:color w:val="auto"/>
              </w:rPr>
            </w:pPr>
            <w:r>
              <w:rPr>
                <w:rFonts w:ascii="Arial" w:cs="Arial" w:eastAsia="Arial" w:hAnsi="Arial"/>
                <w:sz w:val="22"/>
                <w:szCs w:val="22"/>
                <w:color w:val="auto"/>
                <w:w w:val="93"/>
              </w:rPr>
              <w:t>this</w:t>
            </w:r>
          </w:p>
        </w:tc>
        <w:tc>
          <w:tcPr>
            <w:tcW w:w="1060" w:type="dxa"/>
            <w:vAlign w:val="bottom"/>
          </w:tcPr>
          <w:p>
            <w:pPr>
              <w:ind w:left="60"/>
              <w:spacing w:after="0"/>
              <w:rPr>
                <w:sz w:val="20"/>
                <w:szCs w:val="20"/>
                <w:color w:val="auto"/>
              </w:rPr>
            </w:pPr>
            <w:r>
              <w:rPr>
                <w:rFonts w:ascii="Arial" w:cs="Arial" w:eastAsia="Arial" w:hAnsi="Arial"/>
                <w:sz w:val="22"/>
                <w:szCs w:val="22"/>
                <w:color w:val="auto"/>
                <w:w w:val="91"/>
              </w:rPr>
              <w:t>Agreement</w:t>
            </w:r>
          </w:p>
        </w:tc>
        <w:tc>
          <w:tcPr>
            <w:tcW w:w="360" w:type="dxa"/>
            <w:vAlign w:val="bottom"/>
          </w:tcPr>
          <w:p>
            <w:pPr>
              <w:jc w:val="right"/>
              <w:spacing w:after="0"/>
              <w:rPr>
                <w:sz w:val="20"/>
                <w:szCs w:val="20"/>
                <w:color w:val="auto"/>
              </w:rPr>
            </w:pPr>
            <w:r>
              <w:rPr>
                <w:rFonts w:ascii="Arial" w:cs="Arial" w:eastAsia="Arial" w:hAnsi="Arial"/>
                <w:sz w:val="22"/>
                <w:szCs w:val="22"/>
                <w:color w:val="auto"/>
                <w:w w:val="92"/>
              </w:rPr>
              <w:t>and</w:t>
            </w:r>
          </w:p>
        </w:tc>
      </w:tr>
      <w:tr>
        <w:trPr>
          <w:trHeight w:val="274"/>
        </w:trPr>
        <w:tc>
          <w:tcPr>
            <w:tcW w:w="3960" w:type="dxa"/>
            <w:vAlign w:val="bottom"/>
          </w:tcPr>
          <w:p>
            <w:pPr>
              <w:spacing w:after="0"/>
              <w:rPr>
                <w:sz w:val="20"/>
                <w:szCs w:val="20"/>
                <w:color w:val="auto"/>
              </w:rPr>
            </w:pPr>
            <w:r>
              <w:rPr>
                <w:rFonts w:ascii="Arial" w:cs="Arial" w:eastAsia="Arial" w:hAnsi="Arial"/>
                <w:sz w:val="22"/>
                <w:szCs w:val="22"/>
                <w:color w:val="auto"/>
                <w:w w:val="95"/>
              </w:rPr>
              <w:t>Executive’s employment by the Company:</w:t>
            </w:r>
          </w:p>
        </w:tc>
        <w:tc>
          <w:tcPr>
            <w:tcW w:w="17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446"/>
        </w:trPr>
        <w:tc>
          <w:tcPr>
            <w:tcW w:w="3960" w:type="dxa"/>
            <w:vAlign w:val="bottom"/>
          </w:tcPr>
          <w:p>
            <w:pPr>
              <w:ind w:left="2640"/>
              <w:spacing w:after="0"/>
              <w:rPr>
                <w:sz w:val="20"/>
                <w:szCs w:val="20"/>
                <w:color w:val="auto"/>
              </w:rPr>
            </w:pPr>
            <w:r>
              <w:rPr>
                <w:rFonts w:ascii="Arial" w:cs="Arial" w:eastAsia="Arial" w:hAnsi="Arial"/>
                <w:sz w:val="22"/>
                <w:szCs w:val="22"/>
                <w:color w:val="auto"/>
              </w:rPr>
              <w:t>(i)</w:t>
            </w:r>
          </w:p>
        </w:tc>
        <w:tc>
          <w:tcPr>
            <w:tcW w:w="1760" w:type="dxa"/>
            <w:vAlign w:val="bottom"/>
          </w:tcPr>
          <w:p>
            <w:pPr>
              <w:ind w:left="1480"/>
              <w:spacing w:after="0"/>
              <w:rPr>
                <w:sz w:val="20"/>
                <w:szCs w:val="20"/>
                <w:color w:val="auto"/>
              </w:rPr>
            </w:pPr>
            <w:r>
              <w:rPr>
                <w:rFonts w:ascii="Arial" w:cs="Arial" w:eastAsia="Arial" w:hAnsi="Arial"/>
                <w:sz w:val="22"/>
                <w:szCs w:val="22"/>
                <w:color w:val="auto"/>
              </w:rPr>
              <w:t>for</w:t>
            </w:r>
          </w:p>
        </w:tc>
        <w:tc>
          <w:tcPr>
            <w:tcW w:w="1560" w:type="dxa"/>
            <w:vAlign w:val="bottom"/>
            <w:gridSpan w:val="2"/>
          </w:tcPr>
          <w:p>
            <w:pPr>
              <w:ind w:left="100"/>
              <w:spacing w:after="0"/>
              <w:rPr>
                <w:sz w:val="20"/>
                <w:szCs w:val="20"/>
                <w:color w:val="auto"/>
              </w:rPr>
            </w:pPr>
            <w:r>
              <w:rPr>
                <w:rFonts w:ascii="Arial" w:cs="Arial" w:eastAsia="Arial" w:hAnsi="Arial"/>
                <w:sz w:val="22"/>
                <w:szCs w:val="22"/>
                <w:color w:val="auto"/>
                <w:w w:val="95"/>
              </w:rPr>
              <w:t>“Good Reason”</w:t>
            </w:r>
          </w:p>
        </w:tc>
        <w:tc>
          <w:tcPr>
            <w:tcW w:w="1200" w:type="dxa"/>
            <w:vAlign w:val="bottom"/>
            <w:gridSpan w:val="2"/>
          </w:tcPr>
          <w:p>
            <w:pPr>
              <w:ind w:left="100"/>
              <w:spacing w:after="0"/>
              <w:rPr>
                <w:sz w:val="20"/>
                <w:szCs w:val="20"/>
                <w:color w:val="auto"/>
              </w:rPr>
            </w:pPr>
            <w:r>
              <w:rPr>
                <w:rFonts w:ascii="Arial" w:cs="Arial" w:eastAsia="Arial" w:hAnsi="Arial"/>
                <w:sz w:val="22"/>
                <w:szCs w:val="22"/>
                <w:color w:val="auto"/>
                <w:w w:val="93"/>
              </w:rPr>
              <w:t>(as  defined</w:t>
            </w:r>
          </w:p>
        </w:tc>
        <w:tc>
          <w:tcPr>
            <w:tcW w:w="2580" w:type="dxa"/>
            <w:vAlign w:val="bottom"/>
            <w:gridSpan w:val="3"/>
          </w:tcPr>
          <w:p>
            <w:pPr>
              <w:ind w:left="60"/>
              <w:spacing w:after="0"/>
              <w:rPr>
                <w:sz w:val="20"/>
                <w:szCs w:val="20"/>
                <w:color w:val="auto"/>
              </w:rPr>
            </w:pPr>
            <w:r>
              <w:rPr>
                <w:rFonts w:ascii="Arial" w:cs="Arial" w:eastAsia="Arial" w:hAnsi="Arial"/>
                <w:sz w:val="22"/>
                <w:szCs w:val="22"/>
                <w:color w:val="auto"/>
                <w:w w:val="96"/>
              </w:rPr>
              <w:t>herein).   For  purposes  of</w:t>
            </w:r>
          </w:p>
        </w:tc>
        <w:tc>
          <w:tcPr>
            <w:tcW w:w="360" w:type="dxa"/>
            <w:vAlign w:val="bottom"/>
          </w:tcPr>
          <w:p>
            <w:pPr>
              <w:jc w:val="right"/>
              <w:spacing w:after="0"/>
              <w:rPr>
                <w:sz w:val="20"/>
                <w:szCs w:val="20"/>
                <w:color w:val="auto"/>
              </w:rPr>
            </w:pPr>
            <w:r>
              <w:rPr>
                <w:rFonts w:ascii="Arial" w:cs="Arial" w:eastAsia="Arial" w:hAnsi="Arial"/>
                <w:sz w:val="22"/>
                <w:szCs w:val="22"/>
                <w:color w:val="auto"/>
                <w:w w:val="99"/>
              </w:rPr>
              <w:t>this</w:t>
            </w:r>
          </w:p>
        </w:tc>
      </w:tr>
    </w:tbl>
    <w:p>
      <w:pPr>
        <w:jc w:val="both"/>
        <w:spacing w:after="0" w:line="267" w:lineRule="auto"/>
        <w:rPr>
          <w:sz w:val="20"/>
          <w:szCs w:val="20"/>
          <w:color w:val="auto"/>
        </w:rPr>
      </w:pPr>
      <w:r>
        <w:rPr>
          <w:rFonts w:ascii="Arial" w:cs="Arial" w:eastAsia="Arial" w:hAnsi="Arial"/>
          <w:sz w:val="19"/>
          <w:szCs w:val="19"/>
          <w:color w:val="auto"/>
        </w:rPr>
        <w:t>Agreement, “</w:t>
      </w:r>
      <w:r>
        <w:rPr>
          <w:rFonts w:ascii="Arial" w:cs="Arial" w:eastAsia="Arial" w:hAnsi="Arial"/>
          <w:sz w:val="19"/>
          <w:szCs w:val="19"/>
          <w:b w:val="1"/>
          <w:bCs w:val="1"/>
          <w:color w:val="auto"/>
        </w:rPr>
        <w:t>Good Reason</w:t>
      </w:r>
      <w:r>
        <w:rPr>
          <w:rFonts w:ascii="Arial" w:cs="Arial" w:eastAsia="Arial" w:hAnsi="Arial"/>
          <w:sz w:val="19"/>
          <w:szCs w:val="19"/>
          <w:color w:val="auto"/>
        </w:rPr>
        <w:t>” shall mean, the existence, without the consent of the Executive, of any of the following events: (A) the Executive’s duties and responsibilities or salary are substantially reduced or diminished; (B) the Company materially breaches its obligations under this Agreement; or (C) the Executive’s place of employment is relocated by more than fifty (50) miles. In addition to any requirements set forth above, in order for any of the above events to constitute “Good Reason”, the Executive must (X) provide written notice to the CEO or the Board of the existence of the event within thirty (30) days of the initial existence of the event, after which date the Company shall have sixty (60) days to cure the event which otherwise would constitute “Good Reason” hereunder, and</w:t>
      </w:r>
    </w:p>
    <w:p>
      <w:pPr>
        <w:jc w:val="both"/>
        <w:ind w:firstLine="8"/>
        <w:spacing w:after="0" w:line="234" w:lineRule="auto"/>
        <w:tabs>
          <w:tab w:leader="none" w:pos="344" w:val="left"/>
        </w:tabs>
        <w:numPr>
          <w:ilvl w:val="0"/>
          <w:numId w:val="34"/>
        </w:numPr>
        <w:rPr>
          <w:rFonts w:ascii="Arial" w:cs="Arial" w:eastAsia="Arial" w:hAnsi="Arial"/>
          <w:sz w:val="22"/>
          <w:szCs w:val="22"/>
          <w:color w:val="auto"/>
        </w:rPr>
      </w:pPr>
      <w:r>
        <w:rPr>
          <w:rFonts w:ascii="Arial" w:cs="Arial" w:eastAsia="Arial" w:hAnsi="Arial"/>
          <w:sz w:val="22"/>
          <w:szCs w:val="22"/>
          <w:color w:val="auto"/>
        </w:rPr>
        <w:t>notify Company in writing and with specificity if the Company’s cure was insufficient, and if such notice is provided, the Executive must terminate the Executive’s employment with the Company for such “Good Reason” no later than sixty (60) days after the end of the Company’s cure period set forth in (X), above.</w:t>
      </w:r>
    </w:p>
    <w:p>
      <w:pPr>
        <w:spacing w:after="0" w:line="187" w:lineRule="exact"/>
        <w:rPr>
          <w:sz w:val="20"/>
          <w:szCs w:val="20"/>
          <w:color w:val="auto"/>
        </w:rPr>
      </w:pPr>
    </w:p>
    <w:p>
      <w:pPr>
        <w:jc w:val="center"/>
        <w:ind w:left="260"/>
        <w:spacing w:after="0"/>
        <w:rPr>
          <w:sz w:val="20"/>
          <w:szCs w:val="20"/>
          <w:color w:val="auto"/>
        </w:rPr>
      </w:pPr>
      <w:r>
        <w:rPr>
          <w:rFonts w:ascii="Arial" w:cs="Arial" w:eastAsia="Arial" w:hAnsi="Arial"/>
          <w:sz w:val="22"/>
          <w:szCs w:val="22"/>
          <w:color w:val="auto"/>
        </w:rPr>
        <w:t>(ii)Other than for Good Reason thirty (30) days after notice to the Company.</w:t>
      </w:r>
    </w:p>
    <w:p>
      <w:pPr>
        <w:spacing w:after="0" w:line="206" w:lineRule="exact"/>
        <w:rPr>
          <w:sz w:val="20"/>
          <w:szCs w:val="20"/>
          <w:color w:val="auto"/>
        </w:rPr>
      </w:pPr>
    </w:p>
    <w:p>
      <w:pPr>
        <w:ind w:firstLine="1755"/>
        <w:spacing w:after="0" w:line="251" w:lineRule="auto"/>
        <w:rPr>
          <w:sz w:val="20"/>
          <w:szCs w:val="20"/>
          <w:color w:val="auto"/>
        </w:rPr>
      </w:pPr>
      <w:r>
        <w:rPr>
          <w:rFonts w:ascii="Arial" w:cs="Arial" w:eastAsia="Arial" w:hAnsi="Arial"/>
          <w:sz w:val="22"/>
          <w:szCs w:val="22"/>
          <w:color w:val="auto"/>
        </w:rPr>
        <w:t>(c)</w:t>
      </w:r>
      <w:r>
        <w:rPr>
          <w:rFonts w:ascii="Arial" w:cs="Arial" w:eastAsia="Arial" w:hAnsi="Arial"/>
          <w:sz w:val="22"/>
          <w:szCs w:val="22"/>
          <w:u w:val="single" w:color="auto"/>
          <w:color w:val="auto"/>
        </w:rPr>
        <w:t>Termination by the Company</w:t>
      </w:r>
      <w:r>
        <w:rPr>
          <w:rFonts w:ascii="Arial" w:cs="Arial" w:eastAsia="Arial" w:hAnsi="Arial"/>
          <w:sz w:val="22"/>
          <w:szCs w:val="22"/>
          <w:color w:val="auto"/>
        </w:rPr>
        <w:t>. The Company may terminate this Agreement and the Executive’s employment by the Company upon notice to the Executive (or Executive’s personal representative):</w:t>
      </w:r>
    </w:p>
    <w:p>
      <w:pPr>
        <w:spacing w:after="0" w:line="173"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(i)at any time and for any reason;</w:t>
      </w:r>
    </w:p>
    <w:p>
      <w:pPr>
        <w:spacing w:after="0" w:line="206" w:lineRule="exact"/>
        <w:rPr>
          <w:sz w:val="20"/>
          <w:szCs w:val="20"/>
          <w:color w:val="auto"/>
        </w:rPr>
      </w:pPr>
    </w:p>
    <w:p>
      <w:pPr>
        <w:jc w:val="both"/>
        <w:ind w:firstLine="2642"/>
        <w:spacing w:after="0"/>
        <w:tabs>
          <w:tab w:leader="none" w:pos="3535" w:val="left"/>
        </w:tabs>
        <w:numPr>
          <w:ilvl w:val="0"/>
          <w:numId w:val="35"/>
        </w:numPr>
        <w:rPr>
          <w:rFonts w:ascii="Arial" w:cs="Arial" w:eastAsia="Arial" w:hAnsi="Arial"/>
          <w:sz w:val="22"/>
          <w:szCs w:val="22"/>
          <w:color w:val="auto"/>
        </w:rPr>
      </w:pPr>
      <w:r>
        <w:rPr>
          <w:rFonts w:ascii="Arial" w:cs="Arial" w:eastAsia="Arial" w:hAnsi="Arial"/>
          <w:sz w:val="22"/>
          <w:szCs w:val="22"/>
          <w:color w:val="auto"/>
        </w:rPr>
        <w:t>upon the death of the Executive, in which case this Agreement shall terminate immediately; provided that, such termination shall not prejudice any benefits payable to the Executive’s spouse or beneficiaries which are fully vested as of the date of death;</w:t>
      </w:r>
    </w:p>
    <w:p>
      <w:pPr>
        <w:spacing w:after="0" w:line="213" w:lineRule="exact"/>
        <w:rPr>
          <w:rFonts w:ascii="Arial" w:cs="Arial" w:eastAsia="Arial" w:hAnsi="Arial"/>
          <w:sz w:val="22"/>
          <w:szCs w:val="22"/>
          <w:color w:val="auto"/>
        </w:rPr>
      </w:pPr>
    </w:p>
    <w:p>
      <w:pPr>
        <w:jc w:val="both"/>
        <w:ind w:firstLine="2642"/>
        <w:spacing w:after="0" w:line="282" w:lineRule="auto"/>
        <w:tabs>
          <w:tab w:leader="none" w:pos="3592" w:val="left"/>
        </w:tabs>
        <w:numPr>
          <w:ilvl w:val="0"/>
          <w:numId w:val="35"/>
        </w:numPr>
        <w:rPr>
          <w:rFonts w:ascii="Arial" w:cs="Arial" w:eastAsia="Arial" w:hAnsi="Arial"/>
          <w:sz w:val="19"/>
          <w:szCs w:val="19"/>
          <w:color w:val="auto"/>
        </w:rPr>
      </w:pPr>
      <w:r>
        <w:rPr>
          <w:rFonts w:ascii="Arial" w:cs="Arial" w:eastAsia="Arial" w:hAnsi="Arial"/>
          <w:sz w:val="19"/>
          <w:szCs w:val="19"/>
          <w:color w:val="auto"/>
        </w:rPr>
        <w:t>if the Executive is “permanently disabled” (as defined herein), in which case this Agreement shall terminate immediately; provided that, such termination shall not prejudice any benefits payable to the Executive, the Executive’s spouse or beneficiaries which are fully vested as of the date of the termination of this Agreement. For purposes of this Agreement, the Executive shall be considered “</w:t>
      </w:r>
      <w:r>
        <w:rPr>
          <w:rFonts w:ascii="Arial" w:cs="Arial" w:eastAsia="Arial" w:hAnsi="Arial"/>
          <w:sz w:val="19"/>
          <w:szCs w:val="19"/>
          <w:b w:val="1"/>
          <w:bCs w:val="1"/>
          <w:color w:val="auto"/>
        </w:rPr>
        <w:t>permanently disabled</w:t>
      </w:r>
      <w:r>
        <w:rPr>
          <w:rFonts w:ascii="Arial" w:cs="Arial" w:eastAsia="Arial" w:hAnsi="Arial"/>
          <w:sz w:val="19"/>
          <w:szCs w:val="19"/>
          <w:color w:val="auto"/>
        </w:rPr>
        <w:t>” when a qualified medical doctor mutually acceptable to the Company and the Executive or the Executive’s personal representative shall have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2" w:name="page43"/>
    <w:bookmarkEnd w:id="42"/>
    <w:p>
      <w:pPr>
        <w:jc w:val="both"/>
        <w:spacing w:after="0" w:line="282" w:lineRule="auto"/>
        <w:rPr>
          <w:sz w:val="20"/>
          <w:szCs w:val="20"/>
          <w:color w:val="auto"/>
        </w:rPr>
      </w:pPr>
      <w:r>
        <w:rPr>
          <w:rFonts w:ascii="Arial" w:cs="Arial" w:eastAsia="Arial" w:hAnsi="Arial"/>
          <w:sz w:val="19"/>
          <w:szCs w:val="19"/>
          <w:color w:val="auto"/>
        </w:rPr>
        <w:t>certified in writing that: (A) the Executive is unable, because of a medically determinable physical or mental disability, to perform substantially all of the Executive’s duties, with or without a reasonable accommodation, for more than one hundred and eighty (180) calendar days measured from the last full day of work; or (B) by reason of mental or physical disability, it is unlikely that the Executive will be able, within one hundred and eighty (180) calendar days, to resume substantially all business duties and responsibilities in which the Executive was previously engaged and otherwise discharge the Executive’s duties under this Agreement;</w:t>
      </w:r>
    </w:p>
    <w:p>
      <w:pPr>
        <w:spacing w:after="0" w:line="148" w:lineRule="exact"/>
        <w:rPr>
          <w:sz w:val="20"/>
          <w:szCs w:val="20"/>
          <w:color w:val="auto"/>
        </w:rPr>
      </w:pPr>
    </w:p>
    <w:p>
      <w:pPr>
        <w:jc w:val="both"/>
        <w:ind w:firstLine="2642"/>
        <w:spacing w:after="0" w:line="238" w:lineRule="auto"/>
        <w:tabs>
          <w:tab w:leader="none" w:pos="3583" w:val="left"/>
        </w:tabs>
        <w:numPr>
          <w:ilvl w:val="0"/>
          <w:numId w:val="36"/>
        </w:numPr>
        <w:rPr>
          <w:rFonts w:ascii="Arial" w:cs="Arial" w:eastAsia="Arial" w:hAnsi="Arial"/>
          <w:sz w:val="22"/>
          <w:szCs w:val="22"/>
          <w:color w:val="auto"/>
        </w:rPr>
      </w:pPr>
      <w:r>
        <w:rPr>
          <w:rFonts w:ascii="Arial" w:cs="Arial" w:eastAsia="Arial" w:hAnsi="Arial"/>
          <w:sz w:val="22"/>
          <w:szCs w:val="22"/>
          <w:color w:val="auto"/>
        </w:rPr>
        <w:t>upon the liquidation, dissolution or discontinuance of business by the Company in any manner or the filing of any petition by or against the Company under any federal or state bankruptcy or insolvency laws, which petition shall not be dismissed within sixty (60) days after filing; provided that, such termination shall not prejudice the Executive’s rights as a stockholder or a creditor of the Company; or</w:t>
      </w:r>
    </w:p>
    <w:p>
      <w:pPr>
        <w:spacing w:after="0" w:line="179" w:lineRule="exact"/>
        <w:rPr>
          <w:sz w:val="20"/>
          <w:szCs w:val="20"/>
          <w:color w:val="auto"/>
        </w:rPr>
      </w:pPr>
    </w:p>
    <w:p>
      <w:pPr>
        <w:jc w:val="both"/>
        <w:ind w:right="20" w:firstLine="2634"/>
        <w:spacing w:after="0" w:line="256" w:lineRule="auto"/>
        <w:rPr>
          <w:sz w:val="20"/>
          <w:szCs w:val="20"/>
          <w:color w:val="auto"/>
        </w:rPr>
      </w:pPr>
      <w:r>
        <w:rPr>
          <w:rFonts w:ascii="Arial" w:cs="Arial" w:eastAsia="Arial" w:hAnsi="Arial"/>
          <w:sz w:val="22"/>
          <w:szCs w:val="22"/>
          <w:color w:val="auto"/>
        </w:rPr>
        <w:t>(v)"for cause" (as defined herein). “</w:t>
      </w:r>
      <w:r>
        <w:rPr>
          <w:rFonts w:ascii="Arial" w:cs="Arial" w:eastAsia="Arial" w:hAnsi="Arial"/>
          <w:sz w:val="22"/>
          <w:szCs w:val="22"/>
          <w:b w:val="1"/>
          <w:bCs w:val="1"/>
          <w:color w:val="auto"/>
        </w:rPr>
        <w:t>For cause</w:t>
      </w:r>
      <w:r>
        <w:rPr>
          <w:rFonts w:ascii="Arial" w:cs="Arial" w:eastAsia="Arial" w:hAnsi="Arial"/>
          <w:sz w:val="22"/>
          <w:szCs w:val="22"/>
          <w:color w:val="auto"/>
        </w:rPr>
        <w:t>” shall be determined by the Board by a majority vote without the participation of the Executive in such vote and shall mean:</w:t>
      </w:r>
    </w:p>
    <w:p>
      <w:pPr>
        <w:spacing w:after="0" w:line="169" w:lineRule="exact"/>
        <w:rPr>
          <w:sz w:val="20"/>
          <w:szCs w:val="20"/>
          <w:color w:val="auto"/>
        </w:rPr>
      </w:pPr>
    </w:p>
    <w:p>
      <w:pPr>
        <w:jc w:val="both"/>
        <w:ind w:firstLine="3511"/>
        <w:spacing w:after="0" w:line="297" w:lineRule="auto"/>
        <w:rPr>
          <w:sz w:val="20"/>
          <w:szCs w:val="20"/>
          <w:color w:val="auto"/>
        </w:rPr>
      </w:pPr>
      <w:r>
        <w:rPr>
          <w:rFonts w:ascii="Arial" w:cs="Arial" w:eastAsia="Arial" w:hAnsi="Arial"/>
          <w:sz w:val="19"/>
          <w:szCs w:val="19"/>
          <w:color w:val="auto"/>
        </w:rPr>
        <w:t>(A)Any material breach of the terms of this Agreement by the Executive, or the failure of the Executive to diligently and properly perform the Executive’s duties for the Company or the Executive’s failure to achieve the objectives specified by the CEO or the Board , which breach or failure is not cured within thirty (30) days after written notice thereof;</w:t>
      </w:r>
    </w:p>
    <w:p>
      <w:pPr>
        <w:spacing w:after="0" w:line="134" w:lineRule="exact"/>
        <w:rPr>
          <w:sz w:val="20"/>
          <w:szCs w:val="20"/>
          <w:color w:val="auto"/>
        </w:rPr>
      </w:pPr>
    </w:p>
    <w:p>
      <w:pPr>
        <w:jc w:val="both"/>
        <w:ind w:firstLine="3511"/>
        <w:spacing w:after="0"/>
        <w:rPr>
          <w:sz w:val="20"/>
          <w:szCs w:val="20"/>
          <w:color w:val="auto"/>
        </w:rPr>
      </w:pPr>
      <w:r>
        <w:rPr>
          <w:rFonts w:ascii="Arial" w:cs="Arial" w:eastAsia="Arial" w:hAnsi="Arial"/>
          <w:sz w:val="22"/>
          <w:szCs w:val="22"/>
          <w:color w:val="auto"/>
        </w:rPr>
        <w:t>(B)The Executive’s misappropriation or unauthorized use of the Company’s tangible or intangible property, or breach of the Proprietary Information Agreement (as defined herein) or any other similar agreement regarding confidentiality, intellectual property rights, non-competition or non-solicitation;</w:t>
      </w:r>
    </w:p>
    <w:p>
      <w:pPr>
        <w:spacing w:after="0" w:line="186" w:lineRule="exact"/>
        <w:rPr>
          <w:sz w:val="20"/>
          <w:szCs w:val="20"/>
          <w:color w:val="auto"/>
        </w:rPr>
      </w:pPr>
    </w:p>
    <w:p>
      <w:pPr>
        <w:jc w:val="both"/>
        <w:ind w:firstLine="3511"/>
        <w:spacing w:after="0" w:line="238" w:lineRule="auto"/>
        <w:rPr>
          <w:sz w:val="20"/>
          <w:szCs w:val="20"/>
          <w:color w:val="auto"/>
        </w:rPr>
      </w:pPr>
      <w:r>
        <w:rPr>
          <w:rFonts w:ascii="Arial" w:cs="Arial" w:eastAsia="Arial" w:hAnsi="Arial"/>
          <w:sz w:val="22"/>
          <w:szCs w:val="22"/>
          <w:color w:val="auto"/>
        </w:rPr>
        <w:t xml:space="preserve">(C)Any material failure to comply with the Company Policies or any other policies and/or directives of the Board, which failure is not cured within thirty (30) days after written notice thereof; </w:t>
      </w:r>
      <w:r>
        <w:rPr>
          <w:rFonts w:ascii="Arial" w:cs="Arial" w:eastAsia="Arial" w:hAnsi="Arial"/>
          <w:sz w:val="22"/>
          <w:szCs w:val="22"/>
          <w:i w:val="1"/>
          <w:iCs w:val="1"/>
          <w:color w:val="auto"/>
        </w:rPr>
        <w:t>provided, however</w:t>
      </w:r>
      <w:r>
        <w:rPr>
          <w:rFonts w:ascii="Arial" w:cs="Arial" w:eastAsia="Arial" w:hAnsi="Arial"/>
          <w:sz w:val="22"/>
          <w:szCs w:val="22"/>
          <w:color w:val="auto"/>
        </w:rPr>
        <w:t>, in the case of failure to comply with Company Policies related to harassment, unlawful discrimination, retaliation or workplace violence a thirty (30) day cure period and written notice thereof is not required;</w:t>
      </w:r>
    </w:p>
    <w:p>
      <w:pPr>
        <w:spacing w:after="0" w:line="185" w:lineRule="exact"/>
        <w:rPr>
          <w:sz w:val="20"/>
          <w:szCs w:val="20"/>
          <w:color w:val="auto"/>
        </w:rPr>
      </w:pPr>
    </w:p>
    <w:p>
      <w:pPr>
        <w:ind w:firstLine="3511"/>
        <w:spacing w:after="0" w:line="328" w:lineRule="auto"/>
        <w:rPr>
          <w:sz w:val="20"/>
          <w:szCs w:val="20"/>
          <w:color w:val="auto"/>
        </w:rPr>
      </w:pPr>
      <w:r>
        <w:rPr>
          <w:rFonts w:ascii="Arial" w:cs="Arial" w:eastAsia="Arial" w:hAnsi="Arial"/>
          <w:sz w:val="19"/>
          <w:szCs w:val="19"/>
          <w:color w:val="auto"/>
        </w:rPr>
        <w:t>(D)The Executive’s use of illegal drugs or any illegal substance, or the Executive’s use of alcohol in any manner that materially interferes with the performance of the Executive’s duties under this Agreement;</w:t>
      </w:r>
    </w:p>
    <w:p>
      <w:pPr>
        <w:spacing w:after="0" w:line="105" w:lineRule="exact"/>
        <w:rPr>
          <w:sz w:val="20"/>
          <w:szCs w:val="20"/>
          <w:color w:val="auto"/>
        </w:rPr>
      </w:pPr>
    </w:p>
    <w:p>
      <w:pPr>
        <w:jc w:val="both"/>
        <w:ind w:firstLine="3511"/>
        <w:spacing w:after="0"/>
        <w:rPr>
          <w:sz w:val="20"/>
          <w:szCs w:val="20"/>
          <w:color w:val="auto"/>
        </w:rPr>
      </w:pPr>
      <w:r>
        <w:rPr>
          <w:rFonts w:ascii="Arial" w:cs="Arial" w:eastAsia="Arial" w:hAnsi="Arial"/>
          <w:sz w:val="22"/>
          <w:szCs w:val="22"/>
          <w:color w:val="auto"/>
        </w:rPr>
        <w:t>(E)Any dishonest or illegal action (including, without limitation, embezzlement) or any other action whether or not dishonest or illegal by the Executive which is materially detrimental to the interest and well-being of the Company, including, without limitation, harm to its reputation;</w:t>
      </w:r>
    </w:p>
    <w:p>
      <w:pPr>
        <w:spacing w:after="0" w:line="186" w:lineRule="exact"/>
        <w:rPr>
          <w:sz w:val="20"/>
          <w:szCs w:val="20"/>
          <w:color w:val="auto"/>
        </w:rPr>
      </w:pPr>
    </w:p>
    <w:p>
      <w:pPr>
        <w:jc w:val="both"/>
        <w:ind w:firstLine="3511"/>
        <w:spacing w:after="0"/>
        <w:rPr>
          <w:sz w:val="20"/>
          <w:szCs w:val="20"/>
          <w:color w:val="auto"/>
        </w:rPr>
      </w:pPr>
      <w:r>
        <w:rPr>
          <w:rFonts w:ascii="Arial" w:cs="Arial" w:eastAsia="Arial" w:hAnsi="Arial"/>
          <w:sz w:val="22"/>
          <w:szCs w:val="22"/>
          <w:color w:val="auto"/>
        </w:rPr>
        <w:t>(F)The Executive’s failure to fully disclose any material conflict of interest that the Executive may have with the Company in a transaction between the Company and any third party which is materially detrimental to the interest and well-being of the Company; or</w:t>
      </w:r>
    </w:p>
    <w:p>
      <w:pPr>
        <w:spacing w:after="0" w:line="186"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(G)Any adverse action or omission by the Executive which would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3" w:name="page44"/>
    <w:bookmarkEnd w:id="43"/>
    <w:p>
      <w:pPr>
        <w:jc w:val="both"/>
        <w:spacing w:after="0"/>
        <w:rPr>
          <w:sz w:val="20"/>
          <w:szCs w:val="20"/>
          <w:color w:val="auto"/>
        </w:rPr>
      </w:pPr>
      <w:r>
        <w:rPr>
          <w:rFonts w:ascii="Arial" w:cs="Arial" w:eastAsia="Arial" w:hAnsi="Arial"/>
          <w:sz w:val="22"/>
          <w:szCs w:val="22"/>
          <w:color w:val="auto"/>
        </w:rPr>
        <w:t>be required to be disclosed pursuant to public securities laws or which would limit the ability of the Company or any entity affiliated with the Company to sell securities under any Federal or state law or which would disqualify the Company or any affiliated entity from any exemption otherwise available to it.</w:t>
      </w:r>
    </w:p>
    <w:p>
      <w:pPr>
        <w:spacing w:after="0" w:line="186" w:lineRule="exact"/>
        <w:rPr>
          <w:sz w:val="20"/>
          <w:szCs w:val="20"/>
          <w:color w:val="auto"/>
        </w:rPr>
      </w:pPr>
    </w:p>
    <w:p>
      <w:pPr>
        <w:ind w:left="2660" w:hanging="897"/>
        <w:spacing w:after="0"/>
        <w:tabs>
          <w:tab w:leader="none" w:pos="2660"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Obligations of the Company Upon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642"/>
        <w:spacing w:after="0" w:line="279" w:lineRule="auto"/>
        <w:tabs>
          <w:tab w:leader="none" w:pos="3478" w:val="left"/>
        </w:tabs>
        <w:numPr>
          <w:ilvl w:val="2"/>
          <w:numId w:val="37"/>
        </w:numPr>
        <w:rPr>
          <w:rFonts w:ascii="Arial" w:cs="Arial" w:eastAsia="Arial" w:hAnsi="Arial"/>
          <w:sz w:val="19"/>
          <w:szCs w:val="19"/>
          <w:color w:val="auto"/>
        </w:rPr>
      </w:pPr>
      <w:r>
        <w:rPr>
          <w:rFonts w:ascii="Arial" w:cs="Arial" w:eastAsia="Arial" w:hAnsi="Arial"/>
          <w:sz w:val="19"/>
          <w:szCs w:val="19"/>
          <w:color w:val="auto"/>
        </w:rPr>
        <w:t>Upon the termination of this Agreement: (A) pursuant to the expiration of the Term upon notice of non-renewal of the Term given by the Executive; (B) by the Executive pursuant to paragraph 5(b)(ii); or (C) by the Company pursuant to paragraph 5(c)(ii), (iii), (iv), or (v), the Company shall have no further obligations hereunder other than the payment of all compensation and other benefits payable to the Executive through the date of such termination which shall be paid on or before the Company’s next regularly scheduled payday unless such amount is not then-calculable, in which case payment shall be made on the first regularly scheduled payday after the amount is calculable.</w:t>
      </w:r>
    </w:p>
    <w:p>
      <w:pPr>
        <w:spacing w:after="0" w:line="150" w:lineRule="exact"/>
        <w:rPr>
          <w:rFonts w:ascii="Arial" w:cs="Arial" w:eastAsia="Arial" w:hAnsi="Arial"/>
          <w:sz w:val="19"/>
          <w:szCs w:val="19"/>
          <w:color w:val="auto"/>
        </w:rPr>
      </w:pPr>
    </w:p>
    <w:p>
      <w:pPr>
        <w:jc w:val="both"/>
        <w:ind w:firstLine="2642"/>
        <w:spacing w:after="0" w:line="247" w:lineRule="auto"/>
        <w:tabs>
          <w:tab w:leader="none" w:pos="3535" w:val="left"/>
        </w:tabs>
        <w:numPr>
          <w:ilvl w:val="2"/>
          <w:numId w:val="37"/>
        </w:numPr>
        <w:rPr>
          <w:rFonts w:ascii="Arial" w:cs="Arial" w:eastAsia="Arial" w:hAnsi="Arial"/>
          <w:sz w:val="21"/>
          <w:szCs w:val="21"/>
          <w:color w:val="auto"/>
        </w:rPr>
      </w:pPr>
      <w:r>
        <w:rPr>
          <w:rFonts w:ascii="Arial" w:cs="Arial" w:eastAsia="Arial" w:hAnsi="Arial"/>
          <w:sz w:val="21"/>
          <w:szCs w:val="21"/>
          <w:color w:val="auto"/>
        </w:rPr>
        <w:t>Upon termination of this Agreement: Except as provided for in Section 5(d)(iii) in the case of a Termination of this Agreement in Connection with a “</w:t>
      </w:r>
      <w:r>
        <w:rPr>
          <w:rFonts w:ascii="Arial" w:cs="Arial" w:eastAsia="Arial" w:hAnsi="Arial"/>
          <w:sz w:val="21"/>
          <w:szCs w:val="21"/>
          <w:b w:val="1"/>
          <w:bCs w:val="1"/>
          <w:color w:val="auto"/>
        </w:rPr>
        <w:t>Change in Control</w:t>
      </w:r>
      <w:r>
        <w:rPr>
          <w:rFonts w:ascii="Arial" w:cs="Arial" w:eastAsia="Arial" w:hAnsi="Arial"/>
          <w:sz w:val="21"/>
          <w:szCs w:val="21"/>
          <w:color w:val="auto"/>
        </w:rPr>
        <w:t>” or “</w:t>
      </w:r>
      <w:r>
        <w:rPr>
          <w:rFonts w:ascii="Arial" w:cs="Arial" w:eastAsia="Arial" w:hAnsi="Arial"/>
          <w:sz w:val="21"/>
          <w:szCs w:val="21"/>
          <w:b w:val="1"/>
          <w:bCs w:val="1"/>
          <w:color w:val="auto"/>
        </w:rPr>
        <w:t>Corporate Transaction</w:t>
      </w:r>
      <w:r>
        <w:rPr>
          <w:rFonts w:ascii="Arial" w:cs="Arial" w:eastAsia="Arial" w:hAnsi="Arial"/>
          <w:sz w:val="21"/>
          <w:szCs w:val="21"/>
          <w:color w:val="auto"/>
        </w:rPr>
        <w:t>” (as each such term is defined in the Clearside Biomedical, Inc. 2016 Stock Incentive Plan, as amended from time to time): (A) by the Executive pursuant to paragraph 5(b)(i), or (B) by the Company pursuant to paragraph 5(c)(i) or upon notice of non-renewal of the Term given by the Company and, in any such case, provided that the Executive first executes and does not revoke a release and settlement agreement in the form acceptable to the Company within the time period then-specified by the Company but in any event no later than sixty (60) days after the date of termination (the “</w:t>
      </w:r>
      <w:r>
        <w:rPr>
          <w:rFonts w:ascii="Arial" w:cs="Arial" w:eastAsia="Arial" w:hAnsi="Arial"/>
          <w:sz w:val="21"/>
          <w:szCs w:val="21"/>
          <w:b w:val="1"/>
          <w:bCs w:val="1"/>
          <w:color w:val="auto"/>
        </w:rPr>
        <w:t>Release</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jc w:val="both"/>
        <w:ind w:firstLine="885"/>
        <w:spacing w:after="0" w:line="238" w:lineRule="auto"/>
        <w:tabs>
          <w:tab w:leader="none" w:pos="1821"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Company shall pay the Executive an amount equal to 12 months of Executive’s then-current Base Salary (less all applicable deductions) payable in installments in accordance with the then-current generally applicable payroll schedule of the Company commencing on the first regularly scheduled pay date of the Company processed after Executive has executed, delivered to the Company and not revoked the Release;</w:t>
      </w:r>
    </w:p>
    <w:p>
      <w:pPr>
        <w:spacing w:after="0" w:line="185" w:lineRule="exact"/>
        <w:rPr>
          <w:rFonts w:ascii="Arial" w:cs="Arial" w:eastAsia="Arial" w:hAnsi="Arial"/>
          <w:sz w:val="22"/>
          <w:szCs w:val="22"/>
          <w:color w:val="auto"/>
        </w:rPr>
      </w:pPr>
    </w:p>
    <w:p>
      <w:pPr>
        <w:jc w:val="both"/>
        <w:ind w:firstLine="885"/>
        <w:spacing w:after="0" w:line="274" w:lineRule="auto"/>
        <w:tabs>
          <w:tab w:leader="none" w:pos="1769" w:val="left"/>
        </w:tabs>
        <w:numPr>
          <w:ilvl w:val="0"/>
          <w:numId w:val="38"/>
        </w:numPr>
        <w:rPr>
          <w:rFonts w:ascii="Arial" w:cs="Arial" w:eastAsia="Arial" w:hAnsi="Arial"/>
          <w:sz w:val="19"/>
          <w:szCs w:val="19"/>
          <w:color w:val="auto"/>
        </w:rPr>
      </w:pPr>
      <w:r>
        <w:rPr>
          <w:rFonts w:ascii="Arial" w:cs="Arial" w:eastAsia="Arial" w:hAnsi="Arial"/>
          <w:sz w:val="19"/>
          <w:szCs w:val="19"/>
          <w:color w:val="auto"/>
        </w:rPr>
        <w:t>provided that the Executive has been employed for at least six (6) months during the calendar year of the termination of this Agreement, the Company shall pay the Executive an amount equal to the prorated portion (based on the number of days of the Executive’s employment during the year of termination) of the portion of the Target Bonus the Executive would have earned under Section 4(b) for the applicable calendar year (less all applicable deductions), payable in a lump sum on the first payroll cycle following January 1 of the year following the year in which this Agreement is terminated. For illustration, if the Executive’s employment is terminated as of September 30 of a year and the Compensation Committee determines that the Executive would be eligible for 70% of the Target Bonus based on the Committee’s assessment of individual and corporate performance during the year of termination, then the amount payable under this paragraph would be the amount determined by multiplying 75% (i.e., a pro ration reflecting ¾ of the year) by 70% of the Target Bonus for such year;</w:t>
      </w:r>
    </w:p>
    <w:p>
      <w:pPr>
        <w:spacing w:after="0" w:line="158" w:lineRule="exact"/>
        <w:rPr>
          <w:rFonts w:ascii="Arial" w:cs="Arial" w:eastAsia="Arial" w:hAnsi="Arial"/>
          <w:sz w:val="19"/>
          <w:szCs w:val="19"/>
          <w:color w:val="auto"/>
        </w:rPr>
      </w:pPr>
    </w:p>
    <w:p>
      <w:pPr>
        <w:ind w:firstLine="885"/>
        <w:spacing w:after="0" w:line="251" w:lineRule="auto"/>
        <w:tabs>
          <w:tab w:leader="none" w:pos="1769" w:val="left"/>
        </w:tabs>
        <w:numPr>
          <w:ilvl w:val="0"/>
          <w:numId w:val="38"/>
        </w:numPr>
        <w:rPr>
          <w:rFonts w:ascii="Arial" w:cs="Arial" w:eastAsia="Arial" w:hAnsi="Arial"/>
          <w:sz w:val="22"/>
          <w:szCs w:val="22"/>
          <w:color w:val="auto"/>
        </w:rPr>
      </w:pPr>
      <w:r>
        <w:rPr>
          <w:rFonts w:ascii="Arial" w:cs="Arial" w:eastAsia="Arial" w:hAnsi="Arial"/>
          <w:sz w:val="22"/>
          <w:szCs w:val="22"/>
          <w:color w:val="auto"/>
        </w:rPr>
        <w:t>provided that the Executive properly elects and maintains continued health insurance coverage under the Company sponsored plan and provided further that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4" w:name="page45"/>
    <w:bookmarkEnd w:id="44"/>
    <w:p>
      <w:pPr>
        <w:jc w:val="both"/>
        <w:spacing w:after="0" w:line="252" w:lineRule="auto"/>
        <w:rPr>
          <w:sz w:val="20"/>
          <w:szCs w:val="20"/>
          <w:color w:val="auto"/>
        </w:rPr>
      </w:pPr>
      <w:r>
        <w:rPr>
          <w:rFonts w:ascii="Arial" w:cs="Arial" w:eastAsia="Arial" w:hAnsi="Arial"/>
          <w:sz w:val="21"/>
          <w:szCs w:val="21"/>
          <w:color w:val="auto"/>
        </w:rPr>
        <w:t>such benefits continue to be offered under the Company sponsored plan, the Company shall reimburse the Executive in an amount equal to the cost of the premium for such continued health insurance coverage at the same average level and on the same terms and conditions which applied immediately prior to the date of the Executive’s termination for the shorter of (a) 12 months from the date of termination or (b) until the Executive obtains reasonably comparable coverage; and</w:t>
      </w:r>
    </w:p>
    <w:p>
      <w:pPr>
        <w:spacing w:after="0" w:line="174" w:lineRule="exact"/>
        <w:rPr>
          <w:sz w:val="20"/>
          <w:szCs w:val="20"/>
          <w:color w:val="auto"/>
        </w:rPr>
      </w:pPr>
    </w:p>
    <w:p>
      <w:pPr>
        <w:jc w:val="both"/>
        <w:ind w:firstLine="885"/>
        <w:spacing w:after="0" w:line="238" w:lineRule="auto"/>
        <w:tabs>
          <w:tab w:leader="none" w:pos="1769" w:val="left"/>
        </w:tabs>
        <w:numPr>
          <w:ilvl w:val="0"/>
          <w:numId w:val="39"/>
        </w:numPr>
        <w:rPr>
          <w:rFonts w:ascii="Arial" w:cs="Arial" w:eastAsia="Arial" w:hAnsi="Arial"/>
          <w:sz w:val="22"/>
          <w:szCs w:val="22"/>
          <w:color w:val="auto"/>
        </w:rPr>
      </w:pPr>
      <w:r>
        <w:rPr>
          <w:rFonts w:ascii="Arial" w:cs="Arial" w:eastAsia="Arial" w:hAnsi="Arial"/>
          <w:sz w:val="22"/>
          <w:szCs w:val="22"/>
          <w:color w:val="auto"/>
        </w:rPr>
        <w:t>each Equity Award held by Executive shall immediately vest and be exercisable to the extent such Equity Award would have vested had Executive remained employed by the Company for a period of 12 months from the date of termination of this Agreement. The Company and the Executive hereby agree that the Equity Awards shall be deemed amended to the extent necessary to give effect to this provision.</w:t>
      </w:r>
    </w:p>
    <w:p>
      <w:pPr>
        <w:spacing w:after="0" w:line="185" w:lineRule="exact"/>
        <w:rPr>
          <w:rFonts w:ascii="Arial" w:cs="Arial" w:eastAsia="Arial" w:hAnsi="Arial"/>
          <w:sz w:val="22"/>
          <w:szCs w:val="22"/>
          <w:color w:val="auto"/>
        </w:rPr>
      </w:pPr>
    </w:p>
    <w:p>
      <w:pPr>
        <w:jc w:val="both"/>
        <w:ind w:firstLine="2642"/>
        <w:spacing w:after="0" w:line="238" w:lineRule="auto"/>
        <w:tabs>
          <w:tab w:leader="none" w:pos="3592" w:val="left"/>
        </w:tabs>
        <w:numPr>
          <w:ilvl w:val="1"/>
          <w:numId w:val="39"/>
        </w:numPr>
        <w:rPr>
          <w:rFonts w:ascii="Arial" w:cs="Arial" w:eastAsia="Arial" w:hAnsi="Arial"/>
          <w:sz w:val="22"/>
          <w:szCs w:val="22"/>
          <w:color w:val="auto"/>
        </w:rPr>
      </w:pPr>
      <w:r>
        <w:rPr>
          <w:rFonts w:ascii="Arial" w:cs="Arial" w:eastAsia="Arial" w:hAnsi="Arial"/>
          <w:sz w:val="22"/>
          <w:szCs w:val="22"/>
          <w:color w:val="auto"/>
        </w:rPr>
        <w:t>Upon termination of this Agreement within twelve months following a Change in Control or Corporate Transaction: (A) by the Executive pursuant to paragraph 5(b)(i), or (B) by the Company pursuant to paragraph 5(c)(i) or upon notice of non-renewal of the Term given by the Company in any such case, Executive shall be entitled to the following severance benefits, subject to execution of the Release:</w:t>
      </w:r>
    </w:p>
    <w:p>
      <w:pPr>
        <w:spacing w:after="0" w:line="185" w:lineRule="exact"/>
        <w:rPr>
          <w:sz w:val="20"/>
          <w:szCs w:val="20"/>
          <w:color w:val="auto"/>
        </w:rPr>
      </w:pPr>
    </w:p>
    <w:p>
      <w:pPr>
        <w:jc w:val="both"/>
        <w:ind w:firstLine="2642"/>
        <w:spacing w:after="0" w:line="238" w:lineRule="auto"/>
        <w:tabs>
          <w:tab w:leader="none" w:pos="3645"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Company shall pay the Executive an amount equal to eighteen (18) months of Executive’s then-current Base Salary (less all applicable deductions) payable in a lump sum payment on the first regularly scheduled pay date of the Company processed after the Executive has executed and delivered to the Company the Release and any revocation period has expired;</w:t>
      </w:r>
    </w:p>
    <w:p>
      <w:pPr>
        <w:spacing w:after="0" w:line="185" w:lineRule="exact"/>
        <w:rPr>
          <w:rFonts w:ascii="Arial" w:cs="Arial" w:eastAsia="Arial" w:hAnsi="Arial"/>
          <w:sz w:val="22"/>
          <w:szCs w:val="22"/>
          <w:color w:val="auto"/>
        </w:rPr>
      </w:pPr>
    </w:p>
    <w:p>
      <w:pPr>
        <w:jc w:val="both"/>
        <w:ind w:firstLine="2642"/>
        <w:spacing w:after="0" w:line="238" w:lineRule="auto"/>
        <w:tabs>
          <w:tab w:leader="none" w:pos="3526"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Company shall pay the Executive an amount equal to one and one half (1.5) times the Executive’s Target Bonus amount (less all applicable deductions) payable in a lump sum payment on the first regularly scheduled pay date of the Company processed after Executive has executed and delivered to the Company the Release and any revocation period has expired;</w:t>
      </w:r>
    </w:p>
    <w:p>
      <w:pPr>
        <w:spacing w:after="0" w:line="185" w:lineRule="exact"/>
        <w:rPr>
          <w:rFonts w:ascii="Arial" w:cs="Arial" w:eastAsia="Arial" w:hAnsi="Arial"/>
          <w:sz w:val="22"/>
          <w:szCs w:val="22"/>
          <w:color w:val="auto"/>
        </w:rPr>
      </w:pPr>
    </w:p>
    <w:p>
      <w:pPr>
        <w:jc w:val="both"/>
        <w:ind w:firstLine="2642"/>
        <w:spacing w:after="0" w:line="282" w:lineRule="auto"/>
        <w:tabs>
          <w:tab w:leader="none" w:pos="3526" w:val="left"/>
        </w:tabs>
        <w:numPr>
          <w:ilvl w:val="1"/>
          <w:numId w:val="40"/>
        </w:numPr>
        <w:rPr>
          <w:rFonts w:ascii="Arial" w:cs="Arial" w:eastAsia="Arial" w:hAnsi="Arial"/>
          <w:sz w:val="19"/>
          <w:szCs w:val="19"/>
          <w:color w:val="auto"/>
        </w:rPr>
      </w:pPr>
      <w:r>
        <w:rPr>
          <w:rFonts w:ascii="Arial" w:cs="Arial" w:eastAsia="Arial" w:hAnsi="Arial"/>
          <w:sz w:val="19"/>
          <w:szCs w:val="19"/>
          <w:color w:val="auto"/>
        </w:rPr>
        <w:t>provided that the Executive properly elects and maintains continued health insurance coverage under the Company sponsored plan, the Company shall reimburse the Executive in an amount equal to one hundred percent (100%) of the cost of the premium for such continued health insurance coverage at the same average level and on the same terms and conditions which applied immediately prior to the date of the Executive’s termination for the shorter of (a) eighteen (18) months from the date of termination or (b) until the Executive obtains reasonably comparable coverage through an employer; and</w:t>
      </w:r>
    </w:p>
    <w:p>
      <w:pPr>
        <w:spacing w:after="0" w:line="147" w:lineRule="exact"/>
        <w:rPr>
          <w:rFonts w:ascii="Arial" w:cs="Arial" w:eastAsia="Arial" w:hAnsi="Arial"/>
          <w:sz w:val="19"/>
          <w:szCs w:val="19"/>
          <w:color w:val="auto"/>
        </w:rPr>
      </w:pPr>
    </w:p>
    <w:p>
      <w:pPr>
        <w:jc w:val="both"/>
        <w:ind w:firstLine="2642"/>
        <w:spacing w:after="0" w:line="258" w:lineRule="auto"/>
        <w:tabs>
          <w:tab w:leader="none" w:pos="3526" w:val="left"/>
        </w:tabs>
        <w:numPr>
          <w:ilvl w:val="1"/>
          <w:numId w:val="40"/>
        </w:numPr>
        <w:rPr>
          <w:rFonts w:ascii="Arial" w:cs="Arial" w:eastAsia="Arial" w:hAnsi="Arial"/>
          <w:sz w:val="21"/>
          <w:szCs w:val="21"/>
          <w:color w:val="auto"/>
        </w:rPr>
      </w:pPr>
      <w:r>
        <w:rPr>
          <w:rFonts w:ascii="Arial" w:cs="Arial" w:eastAsia="Arial" w:hAnsi="Arial"/>
          <w:sz w:val="21"/>
          <w:szCs w:val="21"/>
          <w:color w:val="auto"/>
        </w:rPr>
        <w:t>each Equity Award held by Executive at the time of termination shall immediately vest and be exercisable until the final exercise date set forth in the Equity Award. The Company and the Executive hereby agree that the Equity Awards shall be deemed amended to the extent necessary to give effect to this provision.</w:t>
      </w:r>
    </w:p>
    <w:p>
      <w:pPr>
        <w:spacing w:after="0" w:line="166" w:lineRule="exact"/>
        <w:rPr>
          <w:rFonts w:ascii="Arial" w:cs="Arial" w:eastAsia="Arial" w:hAnsi="Arial"/>
          <w:sz w:val="21"/>
          <w:szCs w:val="21"/>
          <w:color w:val="auto"/>
        </w:rPr>
      </w:pPr>
    </w:p>
    <w:p>
      <w:pPr>
        <w:jc w:val="both"/>
        <w:ind w:firstLine="1763"/>
        <w:spacing w:after="0" w:line="238" w:lineRule="auto"/>
        <w:tabs>
          <w:tab w:leader="none" w:pos="2635"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Resignation as Officer and Director</w:t>
      </w:r>
      <w:r>
        <w:rPr>
          <w:rFonts w:ascii="Arial" w:cs="Arial" w:eastAsia="Arial" w:hAnsi="Arial"/>
          <w:sz w:val="22"/>
          <w:szCs w:val="22"/>
          <w:color w:val="auto"/>
        </w:rPr>
        <w:t>. Upon termination of this Agreement and the Executive’s employment hereunder for any reason by either party, the Executive shall be deemed to have resigned from all offices and positions the Executive may hold with the Company at such time including without limitation Board membership and/or positions as an officer of the Company.</w:t>
      </w:r>
    </w:p>
    <w:p>
      <w:pPr>
        <w:spacing w:after="0" w:line="185" w:lineRule="exact"/>
        <w:rPr>
          <w:rFonts w:ascii="Arial" w:cs="Arial" w:eastAsia="Arial" w:hAnsi="Arial"/>
          <w:sz w:val="22"/>
          <w:szCs w:val="22"/>
          <w:color w:val="auto"/>
        </w:rPr>
      </w:pPr>
    </w:p>
    <w:p>
      <w:pPr>
        <w:ind w:left="2620" w:hanging="857"/>
        <w:spacing w:after="0"/>
        <w:tabs>
          <w:tab w:leader="none" w:pos="262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Payment in Lieu of Notice Period</w:t>
      </w:r>
      <w:r>
        <w:rPr>
          <w:rFonts w:ascii="Arial" w:cs="Arial" w:eastAsia="Arial" w:hAnsi="Arial"/>
          <w:sz w:val="22"/>
          <w:szCs w:val="22"/>
          <w:color w:val="auto"/>
        </w:rPr>
        <w:t>. Upon the termination of this Agreement: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45" w:name="page46"/>
    <w:bookmarkEnd w:id="45"/>
    <w:p>
      <w:pPr>
        <w:ind w:left="360" w:hanging="352"/>
        <w:spacing w:after="0"/>
        <w:tabs>
          <w:tab w:leader="none" w:pos="3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pursuant to the expiration of the Term based on a non-renewal notice given by either party in accordance with paragraph 3(b); or</w:t>
      </w:r>
    </w:p>
    <w:p>
      <w:pPr>
        <w:spacing w:after="0" w:line="42" w:lineRule="exact"/>
        <w:rPr>
          <w:rFonts w:ascii="Arial" w:cs="Arial" w:eastAsia="Arial" w:hAnsi="Arial"/>
          <w:sz w:val="19"/>
          <w:szCs w:val="19"/>
          <w:color w:val="auto"/>
        </w:rPr>
      </w:pPr>
    </w:p>
    <w:p>
      <w:pPr>
        <w:jc w:val="both"/>
        <w:ind w:firstLine="8"/>
        <w:spacing w:after="0" w:line="275" w:lineRule="auto"/>
        <w:tabs>
          <w:tab w:leader="none" w:pos="333" w:val="left"/>
        </w:tabs>
        <w:numPr>
          <w:ilvl w:val="0"/>
          <w:numId w:val="42"/>
        </w:numPr>
        <w:rPr>
          <w:rFonts w:ascii="Arial" w:cs="Arial" w:eastAsia="Arial" w:hAnsi="Arial"/>
          <w:sz w:val="19"/>
          <w:szCs w:val="19"/>
          <w:color w:val="auto"/>
        </w:rPr>
      </w:pPr>
      <w:r>
        <w:rPr>
          <w:rFonts w:ascii="Arial" w:cs="Arial" w:eastAsia="Arial" w:hAnsi="Arial"/>
          <w:sz w:val="19"/>
          <w:szCs w:val="19"/>
          <w:color w:val="auto"/>
        </w:rPr>
        <w:t>by the Executive pursuant to paragraph 5(b)(i) or 5(b)(ii), the Company may, at its sole election, pay the Executive an amount equal to Executive’s then-current Base Salary for all or any portion of the applicable notice period required by paragraph 3(b) or paragraph 5(b)(i) or 5(b)(ii) in lieu of all or any portion of such notice period; provided, however, any such election by the Company shall not be deemed to be a termination by the Company that invokes the obligations set forth in Section 5(d)(ii) of this Agreement. Notwithstanding the above, if the Executive requests that Executive’s final day of employment occur prior to the expiration of any applicable notice period and the Company consents, pay in lieu of notice shall not be required.</w:t>
      </w:r>
    </w:p>
    <w:p>
      <w:pPr>
        <w:spacing w:after="0" w:line="155" w:lineRule="exact"/>
        <w:rPr>
          <w:sz w:val="20"/>
          <w:szCs w:val="20"/>
          <w:color w:val="auto"/>
        </w:rPr>
      </w:pPr>
    </w:p>
    <w:p>
      <w:pPr>
        <w:ind w:left="1800" w:hanging="915"/>
        <w:spacing w:after="0"/>
        <w:tabs>
          <w:tab w:leader="none" w:pos="180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Parachute Payment upon Corporate Transaction.</w:t>
      </w:r>
    </w:p>
    <w:p>
      <w:pPr>
        <w:spacing w:after="0" w:line="206" w:lineRule="exact"/>
        <w:rPr>
          <w:sz w:val="20"/>
          <w:szCs w:val="20"/>
          <w:color w:val="auto"/>
        </w:rPr>
      </w:pPr>
    </w:p>
    <w:p>
      <w:pPr>
        <w:jc w:val="both"/>
        <w:ind w:firstLine="1526"/>
        <w:spacing w:after="0" w:line="269" w:lineRule="auto"/>
        <w:rPr>
          <w:sz w:val="20"/>
          <w:szCs w:val="20"/>
          <w:color w:val="auto"/>
        </w:rPr>
      </w:pPr>
      <w:r>
        <w:rPr>
          <w:rFonts w:ascii="Arial" w:cs="Arial" w:eastAsia="Arial" w:hAnsi="Arial"/>
          <w:sz w:val="19"/>
          <w:szCs w:val="19"/>
          <w:color w:val="auto"/>
        </w:rPr>
        <w:t>(a)In the event of a Corporate Transaction which results in a change (i) in the ownership of effective control of the Company, or (ii) in the ownership of a substantial portion of the assets of the corporation (within the meaning of Section 280G of the Code and the regulations thereunder (“</w:t>
      </w:r>
      <w:r>
        <w:rPr>
          <w:rFonts w:ascii="Arial" w:cs="Arial" w:eastAsia="Arial" w:hAnsi="Arial"/>
          <w:sz w:val="19"/>
          <w:szCs w:val="19"/>
          <w:b w:val="1"/>
          <w:bCs w:val="1"/>
          <w:color w:val="auto"/>
        </w:rPr>
        <w:t>Section 280G</w:t>
      </w:r>
      <w:r>
        <w:rPr>
          <w:rFonts w:ascii="Arial" w:cs="Arial" w:eastAsia="Arial" w:hAnsi="Arial"/>
          <w:sz w:val="19"/>
          <w:szCs w:val="19"/>
          <w:color w:val="auto"/>
        </w:rPr>
        <w:t>”)) (a “</w:t>
      </w:r>
      <w:r>
        <w:rPr>
          <w:rFonts w:ascii="Arial" w:cs="Arial" w:eastAsia="Arial" w:hAnsi="Arial"/>
          <w:sz w:val="19"/>
          <w:szCs w:val="19"/>
          <w:b w:val="1"/>
          <w:bCs w:val="1"/>
          <w:color w:val="auto"/>
        </w:rPr>
        <w:t>280G Change in Control</w:t>
      </w:r>
      <w:r>
        <w:rPr>
          <w:rFonts w:ascii="Arial" w:cs="Arial" w:eastAsia="Arial" w:hAnsi="Arial"/>
          <w:sz w:val="19"/>
          <w:szCs w:val="19"/>
          <w:color w:val="auto"/>
        </w:rPr>
        <w:t>”) payments and benefits under this Agreement, together with other payments and benefits provided to Executive by the Company (including, without limitation, any accelerated vesting of stock options) (the “</w:t>
      </w:r>
      <w:r>
        <w:rPr>
          <w:rFonts w:ascii="Arial" w:cs="Arial" w:eastAsia="Arial" w:hAnsi="Arial"/>
          <w:sz w:val="19"/>
          <w:szCs w:val="19"/>
          <w:b w:val="1"/>
          <w:bCs w:val="1"/>
          <w:color w:val="auto"/>
        </w:rPr>
        <w:t>Total Payments</w:t>
      </w:r>
      <w:r>
        <w:rPr>
          <w:rFonts w:ascii="Arial" w:cs="Arial" w:eastAsia="Arial" w:hAnsi="Arial"/>
          <w:sz w:val="19"/>
          <w:szCs w:val="19"/>
          <w:color w:val="auto"/>
        </w:rPr>
        <w:t>”) shall be made in accordance with this Section 6(a). If all or a portion of the Total Payments would constitute an “excess parachute payment” within the meaning of Section 280G (the aggregate of such payments or portions thereof) being hereinafter referred to as the “</w:t>
      </w:r>
      <w:r>
        <w:rPr>
          <w:rFonts w:ascii="Arial" w:cs="Arial" w:eastAsia="Arial" w:hAnsi="Arial"/>
          <w:sz w:val="19"/>
          <w:szCs w:val="19"/>
          <w:b w:val="1"/>
          <w:bCs w:val="1"/>
          <w:color w:val="auto"/>
        </w:rPr>
        <w:t>Excess Parachute Payments</w:t>
      </w:r>
      <w:r>
        <w:rPr>
          <w:rFonts w:ascii="Arial" w:cs="Arial" w:eastAsia="Arial" w:hAnsi="Arial"/>
          <w:sz w:val="19"/>
          <w:szCs w:val="19"/>
          <w:color w:val="auto"/>
        </w:rPr>
        <w:t>”), then the Executive will be entitled to receive: (i) an amount limited so that no portion thereof shall fail to be tax deductible under Section 280G of the Code (the “</w:t>
      </w:r>
      <w:r>
        <w:rPr>
          <w:rFonts w:ascii="Arial" w:cs="Arial" w:eastAsia="Arial" w:hAnsi="Arial"/>
          <w:sz w:val="19"/>
          <w:szCs w:val="19"/>
          <w:b w:val="1"/>
          <w:bCs w:val="1"/>
          <w:color w:val="auto"/>
        </w:rPr>
        <w:t>Limited Amount</w:t>
      </w:r>
      <w:r>
        <w:rPr>
          <w:rFonts w:ascii="Arial" w:cs="Arial" w:eastAsia="Arial" w:hAnsi="Arial"/>
          <w:sz w:val="19"/>
          <w:szCs w:val="19"/>
          <w:color w:val="auto"/>
        </w:rPr>
        <w:t>”), or</w:t>
      </w:r>
    </w:p>
    <w:p>
      <w:pPr>
        <w:spacing w:after="0" w:line="4" w:lineRule="exact"/>
        <w:rPr>
          <w:sz w:val="20"/>
          <w:szCs w:val="20"/>
          <w:color w:val="auto"/>
        </w:rPr>
      </w:pPr>
    </w:p>
    <w:p>
      <w:pPr>
        <w:jc w:val="both"/>
        <w:ind w:firstLine="8"/>
        <w:spacing w:after="0" w:line="233" w:lineRule="auto"/>
        <w:tabs>
          <w:tab w:leader="none" w:pos="328" w:val="left"/>
        </w:tabs>
        <w:numPr>
          <w:ilvl w:val="0"/>
          <w:numId w:val="44"/>
        </w:numPr>
        <w:rPr>
          <w:rFonts w:ascii="Arial" w:cs="Arial" w:eastAsia="Arial" w:hAnsi="Arial"/>
          <w:sz w:val="22"/>
          <w:szCs w:val="22"/>
          <w:color w:val="auto"/>
        </w:rPr>
      </w:pPr>
      <w:r>
        <w:rPr>
          <w:rFonts w:ascii="Arial" w:cs="Arial" w:eastAsia="Arial" w:hAnsi="Arial"/>
          <w:sz w:val="22"/>
          <w:szCs w:val="22"/>
          <w:color w:val="auto"/>
        </w:rPr>
        <w:t>if the amount otherwise payable hereunder or otherwise (without regarding to clause (i)) reduced by all taxes applicable thereto (including, for the avoidance of doubt, the federal excise tax levied on certain Excess Parachute Payments under Section 4999 of the Code (the “</w:t>
      </w:r>
      <w:r>
        <w:rPr>
          <w:rFonts w:ascii="Arial" w:cs="Arial" w:eastAsia="Arial" w:hAnsi="Arial"/>
          <w:sz w:val="22"/>
          <w:szCs w:val="22"/>
          <w:b w:val="1"/>
          <w:bCs w:val="1"/>
          <w:color w:val="auto"/>
        </w:rPr>
        <w:t>Excise Tax</w:t>
      </w:r>
      <w:r>
        <w:rPr>
          <w:rFonts w:ascii="Arial" w:cs="Arial" w:eastAsia="Arial" w:hAnsi="Arial"/>
          <w:sz w:val="22"/>
          <w:szCs w:val="22"/>
          <w:color w:val="auto"/>
        </w:rPr>
        <w:t>”)) would be greater than the Limited Amount reduced by all taxes applicable thereto, the amount otherwise payable hereunder.</w:t>
      </w:r>
    </w:p>
    <w:p>
      <w:pPr>
        <w:spacing w:after="0" w:line="188" w:lineRule="exact"/>
        <w:rPr>
          <w:sz w:val="20"/>
          <w:szCs w:val="20"/>
          <w:color w:val="auto"/>
        </w:rPr>
      </w:pPr>
    </w:p>
    <w:p>
      <w:pPr>
        <w:jc w:val="both"/>
        <w:ind w:firstLine="1526"/>
        <w:spacing w:after="0" w:line="273" w:lineRule="auto"/>
        <w:rPr>
          <w:sz w:val="20"/>
          <w:szCs w:val="20"/>
          <w:color w:val="auto"/>
        </w:rPr>
      </w:pPr>
      <w:r>
        <w:rPr>
          <w:rFonts w:ascii="Arial" w:cs="Arial" w:eastAsia="Arial" w:hAnsi="Arial"/>
          <w:sz w:val="19"/>
          <w:szCs w:val="19"/>
          <w:color w:val="auto"/>
        </w:rPr>
        <w:t>(b)The determination as to whether the Total Payments include Excess Parachute Payments and, if so, the amount of such Excess Parachute Payments, the amount of any Excise Tax with respect thereto, and the amount of any reduction in Total Payments shall be made at the Company’s expense by the independent public accounting firm most recently serving as the Company’s outside auditors or such other accounting or benefits consulting group or firm as the Company may designate (the “</w:t>
      </w:r>
      <w:r>
        <w:rPr>
          <w:rFonts w:ascii="Arial" w:cs="Arial" w:eastAsia="Arial" w:hAnsi="Arial"/>
          <w:sz w:val="19"/>
          <w:szCs w:val="19"/>
          <w:b w:val="1"/>
          <w:bCs w:val="1"/>
          <w:color w:val="auto"/>
        </w:rPr>
        <w:t>Accountants</w:t>
      </w:r>
      <w:r>
        <w:rPr>
          <w:rFonts w:ascii="Arial" w:cs="Arial" w:eastAsia="Arial" w:hAnsi="Arial"/>
          <w:sz w:val="19"/>
          <w:szCs w:val="19"/>
          <w:color w:val="auto"/>
        </w:rPr>
        <w:t xml:space="preserve">”). In the event that any payments under this Agreement or otherwise are required to be reduced as described in Section 6(a), the adjustment will be made, first, by reducing the amount of base salary and bonus payable pursuant to </w:t>
      </w:r>
      <w:r>
        <w:rPr>
          <w:rFonts w:ascii="Arial" w:cs="Arial" w:eastAsia="Arial" w:hAnsi="Arial"/>
          <w:sz w:val="19"/>
          <w:szCs w:val="19"/>
          <w:b w:val="1"/>
          <w:bCs w:val="1"/>
          <w:color w:val="auto"/>
        </w:rPr>
        <w:t>Section 5(d)(iii)(1) and (2),</w:t>
      </w:r>
      <w:r>
        <w:rPr>
          <w:rFonts w:ascii="Arial" w:cs="Arial" w:eastAsia="Arial" w:hAnsi="Arial"/>
          <w:sz w:val="19"/>
          <w:szCs w:val="19"/>
          <w:color w:val="auto"/>
        </w:rPr>
        <w:t xml:space="preserve"> as applicable; second, if additional reductions are necessary, by reducing the payment of health insurance premium due to Executive pursuant to </w:t>
      </w:r>
      <w:r>
        <w:rPr>
          <w:rFonts w:ascii="Arial" w:cs="Arial" w:eastAsia="Arial" w:hAnsi="Arial"/>
          <w:sz w:val="19"/>
          <w:szCs w:val="19"/>
          <w:b w:val="1"/>
          <w:bCs w:val="1"/>
          <w:color w:val="auto"/>
        </w:rPr>
        <w:t>Section 5(d)(iii)(3)</w:t>
      </w:r>
      <w:r>
        <w:rPr>
          <w:rFonts w:ascii="Arial" w:cs="Arial" w:eastAsia="Arial" w:hAnsi="Arial"/>
          <w:sz w:val="19"/>
          <w:szCs w:val="19"/>
          <w:color w:val="auto"/>
        </w:rPr>
        <w:t xml:space="preserve">, as applicable; and third, if additional reductions are still necessary, by eliminating the accelerated vesting of time-based equity-based awards under </w:t>
      </w:r>
      <w:r>
        <w:rPr>
          <w:rFonts w:ascii="Arial" w:cs="Arial" w:eastAsia="Arial" w:hAnsi="Arial"/>
          <w:sz w:val="19"/>
          <w:szCs w:val="19"/>
          <w:b w:val="1"/>
          <w:bCs w:val="1"/>
          <w:color w:val="auto"/>
        </w:rPr>
        <w:t>Section 5(d)(iii)(4)</w:t>
      </w:r>
      <w:r>
        <w:rPr>
          <w:rFonts w:ascii="Arial" w:cs="Arial" w:eastAsia="Arial" w:hAnsi="Arial"/>
          <w:sz w:val="19"/>
          <w:szCs w:val="19"/>
          <w:color w:val="auto"/>
        </w:rPr>
        <w:t>, if any, starting with those awards for which the amount required to be taken into account under Section 280G is the greatest.</w:t>
      </w:r>
    </w:p>
    <w:p>
      <w:pPr>
        <w:spacing w:after="0" w:line="162" w:lineRule="exact"/>
        <w:rPr>
          <w:sz w:val="20"/>
          <w:szCs w:val="20"/>
          <w:color w:val="auto"/>
        </w:rPr>
      </w:pPr>
    </w:p>
    <w:p>
      <w:pPr>
        <w:jc w:val="both"/>
        <w:ind w:firstLine="1526"/>
        <w:spacing w:after="0" w:line="297" w:lineRule="auto"/>
        <w:rPr>
          <w:sz w:val="20"/>
          <w:szCs w:val="20"/>
          <w:color w:val="auto"/>
        </w:rPr>
      </w:pPr>
      <w:r>
        <w:rPr>
          <w:rFonts w:ascii="Arial" w:cs="Arial" w:eastAsia="Arial" w:hAnsi="Arial"/>
          <w:sz w:val="19"/>
          <w:szCs w:val="19"/>
          <w:color w:val="auto"/>
        </w:rPr>
        <w:t>(c)In the event that there has been an underpayment or overpayment under this Agreement or otherwise as determined by the Accountants, the amount of such underpayment or overpayment shall forthwith be paid to Executive or refunded to the Company, as the case may be, with interest at the applicable federal rate provided for in Section 7872(f)(2) of the Code.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46" w:name="page47"/>
    <w:bookmarkEnd w:id="46"/>
    <w:p>
      <w:pPr>
        <w:jc w:val="both"/>
        <w:ind w:firstLine="885"/>
        <w:spacing w:after="0" w:line="247" w:lineRule="auto"/>
        <w:tabs>
          <w:tab w:leader="none" w:pos="1682"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Proprietary Information Agreement</w:t>
      </w:r>
      <w:r>
        <w:rPr>
          <w:rFonts w:ascii="Arial" w:cs="Arial" w:eastAsia="Arial" w:hAnsi="Arial"/>
          <w:sz w:val="21"/>
          <w:szCs w:val="21"/>
          <w:color w:val="auto"/>
        </w:rPr>
        <w:t>. The terms of the Proprietary Information and Inventions Agreement by and between the Company and the Executive dated August 31, 2012, (the “</w:t>
      </w:r>
      <w:r>
        <w:rPr>
          <w:rFonts w:ascii="Arial" w:cs="Arial" w:eastAsia="Arial" w:hAnsi="Arial"/>
          <w:sz w:val="21"/>
          <w:szCs w:val="21"/>
          <w:b w:val="1"/>
          <w:bCs w:val="1"/>
          <w:color w:val="auto"/>
        </w:rPr>
        <w:t>Proprietary Information Agreement</w:t>
      </w:r>
      <w:r>
        <w:rPr>
          <w:rFonts w:ascii="Arial" w:cs="Arial" w:eastAsia="Arial" w:hAnsi="Arial"/>
          <w:sz w:val="21"/>
          <w:szCs w:val="21"/>
          <w:color w:val="auto"/>
        </w:rPr>
        <w:t>”) and any other similar agreement regarding confidentiality, intellectual property rights, non-competition or non-solicitation between the Company and the Executive, are hereby incorporated by reference and are a material part of this Agreement. The duration of Executive’s covenants set forth in Section 3 (nonsolicitation) and Section 4 (covenant not to compete) of the Proprietary Information Agreement are hereby amended to apply for eighteen months following the end of employment in the event the Company makes the lump sum payment provided for under Section 5(d)(iii)(1).</w:t>
      </w:r>
    </w:p>
    <w:p>
      <w:pPr>
        <w:spacing w:after="0" w:line="178" w:lineRule="exact"/>
        <w:rPr>
          <w:rFonts w:ascii="Arial" w:cs="Arial" w:eastAsia="Arial" w:hAnsi="Arial"/>
          <w:sz w:val="21"/>
          <w:szCs w:val="21"/>
          <w:color w:val="auto"/>
        </w:rPr>
      </w:pPr>
    </w:p>
    <w:p>
      <w:pPr>
        <w:ind w:left="1700" w:hanging="815"/>
        <w:spacing w:after="0"/>
        <w:tabs>
          <w:tab w:leader="none" w:pos="170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06"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(a) The Executive represents and warrants to the Company that the Executive’s performance of this Agreement and as an employee of the Company does not and will not breach any noncompetition agreement or any agreement to keep in confidence proprietary information acquired by the Executive in confidence or in trust prior to the Executive's employment by the Company. The Executive represents and warrants to the Company that the Executive has not entered into, and agrees not to enter into, any agreement that conflicts with or violates this Agreement.</w:t>
      </w:r>
    </w:p>
    <w:p>
      <w:pPr>
        <w:spacing w:after="0" w:line="179"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9"/>
          <w:szCs w:val="19"/>
          <w:color w:val="auto"/>
        </w:rPr>
        <w:t>(b)The Executive represents and warrants to the Company that the Executive has not brought and shall not bring with the Executive to the Company, or use in the performance of the Executive's responsibilities for the Company, any materials or documents of a former employer which are not generally available to the public or which did not belong to the Executive prior to the Executive’s employment with the Company, unless the Executive has obtained written authorization from the former employer or other owner for their possession and use and provided the Company with a copy thereof.</w:t>
      </w:r>
    </w:p>
    <w:p>
      <w:pPr>
        <w:spacing w:after="0" w:line="148" w:lineRule="exact"/>
        <w:rPr>
          <w:sz w:val="20"/>
          <w:szCs w:val="20"/>
          <w:color w:val="auto"/>
        </w:rPr>
      </w:pPr>
    </w:p>
    <w:p>
      <w:pPr>
        <w:jc w:val="both"/>
        <w:ind w:firstLine="885"/>
        <w:spacing w:after="0" w:line="248" w:lineRule="auto"/>
        <w:tabs>
          <w:tab w:leader="none" w:pos="1682"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Indemnification by the Executive</w:t>
      </w:r>
      <w:r>
        <w:rPr>
          <w:rFonts w:ascii="Arial" w:cs="Arial" w:eastAsia="Arial" w:hAnsi="Arial"/>
          <w:sz w:val="21"/>
          <w:szCs w:val="21"/>
          <w:color w:val="auto"/>
        </w:rPr>
        <w:t>. To the extent any of Executive’s actions or inactions result in damages to the Company which are not covered under the Company’s then existing indemnification provisions for officers, its Directors and Officers insurance policy (or similar insurance contract), or would be unlawful for the Company to indemnify, then the Executive shall indemnify and hold harmless the Company, its directors, officers, stockholders, agents, and employees against all claims, costs, expenses, liabilities, and lost profits, including amounts paid in settlement, incurred by any of them as a result of the material breach by the Executive of any provision of Section 2, 6 and/or 7 of this Agreement.</w:t>
      </w:r>
    </w:p>
    <w:p>
      <w:pPr>
        <w:spacing w:after="0" w:line="177" w:lineRule="exact"/>
        <w:rPr>
          <w:rFonts w:ascii="Arial" w:cs="Arial" w:eastAsia="Arial" w:hAnsi="Arial"/>
          <w:sz w:val="21"/>
          <w:szCs w:val="21"/>
          <w:color w:val="auto"/>
        </w:rPr>
      </w:pPr>
    </w:p>
    <w:p>
      <w:pPr>
        <w:jc w:val="both"/>
        <w:ind w:firstLine="885"/>
        <w:spacing w:after="0" w:line="279" w:lineRule="auto"/>
        <w:tabs>
          <w:tab w:leader="none" w:pos="1788"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consents, approvals, and other communications to, upon, and between the parties shall be in writing and shall be deemed to have been given, delivered, made, and received when: (a) personally delivered; (b) deposited for next day delivery by Federal Express, or other similar overnight courier services; (c) transmitted via telefacsimile or other similar device to the attention of the Board of Directors of the Company with receipt acknowledged; or (d) three (3) days after being sent or mailed by certified mail, postage prepaid and return receipt requested, addressed to the Company at 900 North Point Parkway, Suite 200, Alpharetta, GA 30005 and to the Executive at the Executive’s last listed address in the payroll records of the Company.</w:t>
      </w:r>
    </w:p>
    <w:p>
      <w:pPr>
        <w:spacing w:after="0" w:line="150" w:lineRule="exact"/>
        <w:rPr>
          <w:rFonts w:ascii="Arial" w:cs="Arial" w:eastAsia="Arial" w:hAnsi="Arial"/>
          <w:sz w:val="19"/>
          <w:szCs w:val="19"/>
          <w:color w:val="auto"/>
        </w:rPr>
      </w:pPr>
    </w:p>
    <w:p>
      <w:pPr>
        <w:ind w:firstLine="885"/>
        <w:spacing w:after="0" w:line="251" w:lineRule="auto"/>
        <w:tabs>
          <w:tab w:leader="none" w:pos="178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Effect</w:t>
      </w:r>
      <w:r>
        <w:rPr>
          <w:rFonts w:ascii="Arial" w:cs="Arial" w:eastAsia="Arial" w:hAnsi="Arial"/>
          <w:sz w:val="22"/>
          <w:szCs w:val="22"/>
          <w:color w:val="auto"/>
        </w:rPr>
        <w:t>. This Agreement shall be binding on and inure to the respective benefit of the Company and its successors and assigns and the Executive and Executive’s personal representatives.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47" w:name="page48"/>
    <w:bookmarkEnd w:id="47"/>
    <w:p>
      <w:pPr>
        <w:jc w:val="both"/>
        <w:ind w:firstLine="885"/>
        <w:spacing w:after="0" w:line="238" w:lineRule="auto"/>
        <w:tabs>
          <w:tab w:leader="none" w:pos="178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Proprietary Information Agreement and any other similar agreement regarding confidentiality, intellectual property rights, non-competition or non-solicitation constitute the entire agreement between the parties with respect to the matters set forth herein and supersede all prior agreements and understandings between the parties with respect to the same, including the Original Agreement.</w:t>
      </w:r>
    </w:p>
    <w:p>
      <w:pPr>
        <w:spacing w:after="0" w:line="185" w:lineRule="exact"/>
        <w:rPr>
          <w:rFonts w:ascii="Arial" w:cs="Arial" w:eastAsia="Arial" w:hAnsi="Arial"/>
          <w:sz w:val="22"/>
          <w:szCs w:val="22"/>
          <w:color w:val="auto"/>
        </w:rPr>
      </w:pPr>
    </w:p>
    <w:p>
      <w:pPr>
        <w:ind w:firstLine="885"/>
        <w:spacing w:after="0" w:line="251" w:lineRule="auto"/>
        <w:tabs>
          <w:tab w:leader="none" w:pos="178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w:t>
      </w:r>
    </w:p>
    <w:p>
      <w:pPr>
        <w:spacing w:after="0" w:line="173" w:lineRule="exact"/>
        <w:rPr>
          <w:rFonts w:ascii="Arial" w:cs="Arial" w:eastAsia="Arial" w:hAnsi="Arial"/>
          <w:sz w:val="22"/>
          <w:szCs w:val="22"/>
          <w:color w:val="auto"/>
        </w:rPr>
      </w:pPr>
    </w:p>
    <w:p>
      <w:pPr>
        <w:ind w:firstLine="885"/>
        <w:spacing w:after="0" w:line="274" w:lineRule="auto"/>
        <w:tabs>
          <w:tab w:leader="none" w:pos="1788"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Amendment and Waiver</w:t>
      </w:r>
      <w:r>
        <w:rPr>
          <w:rFonts w:ascii="Arial" w:cs="Arial" w:eastAsia="Arial" w:hAnsi="Arial"/>
          <w:sz w:val="21"/>
          <w:szCs w:val="21"/>
          <w:color w:val="auto"/>
        </w:rPr>
        <w:t>. No provision of this Agreement, including the provisions of this Section, may be amended, modified, deleted, or waived in any manner except by a written agreement executed by the parties.</w:t>
      </w:r>
    </w:p>
    <w:p>
      <w:pPr>
        <w:spacing w:after="0" w:line="150" w:lineRule="exact"/>
        <w:rPr>
          <w:rFonts w:ascii="Arial" w:cs="Arial" w:eastAsia="Arial" w:hAnsi="Arial"/>
          <w:sz w:val="21"/>
          <w:szCs w:val="21"/>
          <w:color w:val="auto"/>
        </w:rPr>
      </w:pPr>
    </w:p>
    <w:p>
      <w:pPr>
        <w:jc w:val="both"/>
        <w:ind w:firstLine="885"/>
        <w:spacing w:after="0" w:line="236" w:lineRule="auto"/>
        <w:tabs>
          <w:tab w:leader="none" w:pos="178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Section 409A Matters</w:t>
      </w:r>
      <w:r>
        <w:rPr>
          <w:rFonts w:ascii="Arial" w:cs="Arial" w:eastAsia="Arial" w:hAnsi="Arial"/>
          <w:sz w:val="22"/>
          <w:szCs w:val="22"/>
          <w:color w:val="auto"/>
        </w:rPr>
        <w:t>. This Agreement is intended to comply with the requirements of Section 409A of the Internal Revenue Code of 1986, as amended and the Treasury Regulations and other applicable guidance thereunder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409A</w:t>
      </w:r>
      <w:r>
        <w:rPr>
          <w:rFonts w:ascii="Arial" w:cs="Arial" w:eastAsia="Arial" w:hAnsi="Arial"/>
          <w:sz w:val="22"/>
          <w:szCs w:val="22"/>
          <w:color w:val="auto"/>
        </w:rPr>
        <w:t>”). To the extent that there is any ambiguity as to whether this Agreement (or any of its provisions) contravenes one or more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requirements of Section 409A, such provision shall be interpreted and applied in a matter that does not result in a Section 409A violation. Without limiting the generality of the above:</w:t>
      </w:r>
    </w:p>
    <w:p>
      <w:pPr>
        <w:spacing w:after="0" w:line="18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(a)For clarity, the severance benefits specified in this Agreement (the “</w:t>
      </w:r>
      <w:r>
        <w:rPr>
          <w:rFonts w:ascii="Arial" w:cs="Arial" w:eastAsia="Arial" w:hAnsi="Arial"/>
          <w:sz w:val="19"/>
          <w:szCs w:val="19"/>
          <w:b w:val="1"/>
          <w:bCs w:val="1"/>
          <w:color w:val="auto"/>
        </w:rPr>
        <w:t>Severance Benefits</w:t>
      </w:r>
      <w:r>
        <w:rPr>
          <w:rFonts w:ascii="Arial" w:cs="Arial" w:eastAsia="Arial" w:hAnsi="Arial"/>
          <w:sz w:val="19"/>
          <w:szCs w:val="19"/>
          <w:color w:val="auto"/>
        </w:rPr>
        <w:t>”) are only payable upon a “separation from service” as defined in Section 409A. The Severance Benefits shall be deemed to be series of separate payments, with each installment being treated as a separate payment. The time and form of payment of any compensation may not be deferred or accelerated to the extent it would result in an impermissible acceleration or deferral under Section 409A.</w:t>
      </w:r>
    </w:p>
    <w:p>
      <w:pPr>
        <w:spacing w:after="0" w:line="14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(b)To the extent this Agreement contains payments which are subject to Section 409A (as opposed to exempt from Section 409A), the Executive’s rights to such payments are not subject to anticipation, alienation, sale, transfer, pledge, encumbrance, attachment or garnishment and, where applicable, may only be transferred by will or the laws of descent and distribution.</w:t>
      </w:r>
    </w:p>
    <w:p>
      <w:pPr>
        <w:spacing w:after="0" w:line="13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(c)To the extent the Severance Benefits are intended to be exempt from Section 409A as a result of an “involuntary separation from service” under Section 409A, if all conditions necessary to establish the Executive’s entitlement to such Severance Benefits have been satisfied, all Severance Benefits shall be paid or provided in full no later than December 31</w:t>
      </w:r>
      <w:r>
        <w:rPr>
          <w:rFonts w:ascii="Arial" w:cs="Arial" w:eastAsia="Arial" w:hAnsi="Arial"/>
          <w:sz w:val="16"/>
          <w:szCs w:val="16"/>
          <w:color w:val="auto"/>
        </w:rPr>
        <w:t>st</w:t>
      </w:r>
      <w:r>
        <w:rPr>
          <w:rFonts w:ascii="Arial" w:cs="Arial" w:eastAsia="Arial" w:hAnsi="Arial"/>
          <w:sz w:val="19"/>
          <w:szCs w:val="19"/>
          <w:color w:val="auto"/>
        </w:rPr>
        <w:t xml:space="preserve"> of the second calendar year following the calendar year in which the Executive’s employment terminated unless another time period is applicable.</w:t>
      </w:r>
    </w:p>
    <w:p>
      <w:pPr>
        <w:spacing w:after="0" w:line="14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(d)If the Employee is a “specified employee” (as defined in Section 409A) on the termination date and a delayed payment is required by Section 409A to avoid a prohibited distribution under Section 409A, then no Severance Benefits that constitute “non-qualified deferred compensation” under Section 409A shall be paid until the earlier of (i) the first day of the 7</w:t>
      </w:r>
      <w:r>
        <w:rPr>
          <w:rFonts w:ascii="Arial" w:cs="Arial" w:eastAsia="Arial" w:hAnsi="Arial"/>
          <w:sz w:val="17"/>
          <w:szCs w:val="17"/>
          <w:color w:val="auto"/>
        </w:rPr>
        <w:t>th</w:t>
      </w:r>
      <w:r>
        <w:rPr>
          <w:rFonts w:ascii="Arial" w:cs="Arial" w:eastAsia="Arial" w:hAnsi="Arial"/>
          <w:sz w:val="21"/>
          <w:szCs w:val="21"/>
          <w:color w:val="auto"/>
        </w:rPr>
        <w:t xml:space="preserve"> month following the date of the Executive’s “separation from service” as defined in Section 409A, or (ii) the date of the Executive’s death. Upon the expiration of the applicable deferral period, all payments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48" w:name="page49"/>
    <w:bookmarkEnd w:id="48"/>
    <w:p>
      <w:pPr>
        <w:jc w:val="both"/>
        <w:spacing w:after="0" w:line="251" w:lineRule="auto"/>
        <w:rPr>
          <w:sz w:val="20"/>
          <w:szCs w:val="20"/>
          <w:color w:val="auto"/>
        </w:rPr>
      </w:pPr>
      <w:r>
        <w:rPr>
          <w:rFonts w:ascii="Arial" w:cs="Arial" w:eastAsia="Arial" w:hAnsi="Arial"/>
          <w:sz w:val="22"/>
          <w:szCs w:val="22"/>
          <w:color w:val="auto"/>
        </w:rPr>
        <w:t>deferred under this clause shall be paid in a lump sum and any remaining severance benefits shall be paid per the schedule specified in this Agreement.</w:t>
      </w:r>
    </w:p>
    <w:p>
      <w:pPr>
        <w:spacing w:after="0" w:line="1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(e)The Company makes no representation that this Agreement will be exempt from or compliant with Section 409A and makes no affirmative undertaking to preclude Section 409A from applying, but does reserve the right to unilaterally amend this Agreement as may be necessary or advisable to permit the Agreement to be in documentary and operational compliance with Section 409A which determination will be made in the sole discretion of the Company.</w:t>
      </w:r>
    </w:p>
    <w:p>
      <w:pPr>
        <w:spacing w:after="0" w:line="174" w:lineRule="exact"/>
        <w:rPr>
          <w:sz w:val="20"/>
          <w:szCs w:val="20"/>
          <w:color w:val="auto"/>
        </w:rPr>
      </w:pPr>
    </w:p>
    <w:p>
      <w:pPr>
        <w:ind w:firstLine="885"/>
        <w:spacing w:after="0" w:line="328" w:lineRule="auto"/>
        <w:tabs>
          <w:tab w:leader="none" w:pos="1788"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will be governed by and construed according to the laws of the Georgia as such laws are applied to agreements entered into and to be performed entirely within Georgia between Georgia residents.</w:t>
      </w:r>
    </w:p>
    <w:p>
      <w:pPr>
        <w:spacing w:after="0" w:line="105" w:lineRule="exact"/>
        <w:rPr>
          <w:rFonts w:ascii="Arial" w:cs="Arial" w:eastAsia="Arial" w:hAnsi="Arial"/>
          <w:sz w:val="19"/>
          <w:szCs w:val="19"/>
          <w:color w:val="auto"/>
        </w:rPr>
      </w:pPr>
    </w:p>
    <w:p>
      <w:pPr>
        <w:jc w:val="both"/>
        <w:ind w:firstLine="885"/>
        <w:spacing w:after="0" w:line="252" w:lineRule="auto"/>
        <w:tabs>
          <w:tab w:leader="none" w:pos="1788"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Consent to Jurisdiction and Venue</w:t>
      </w:r>
      <w:r>
        <w:rPr>
          <w:rFonts w:ascii="Arial" w:cs="Arial" w:eastAsia="Arial" w:hAnsi="Arial"/>
          <w:sz w:val="21"/>
          <w:szCs w:val="21"/>
          <w:color w:val="auto"/>
        </w:rPr>
        <w:t>. Each of the parties agrees that any suit, action, or proceeding arising out of this Agreement may be instituted against it in the state or federal courts located in Georgia. Each of the parties hereby waives any objection that it may have to the venue of any such suit, action, or proceeding, and each of the parties hereby irrevocably consents to the personal jurisdiction of any such court in any such suit, action, or proceeding.</w:t>
      </w:r>
    </w:p>
    <w:p>
      <w:pPr>
        <w:spacing w:after="0" w:line="174" w:lineRule="exact"/>
        <w:rPr>
          <w:rFonts w:ascii="Arial" w:cs="Arial" w:eastAsia="Arial" w:hAnsi="Arial"/>
          <w:sz w:val="21"/>
          <w:szCs w:val="21"/>
          <w:color w:val="auto"/>
        </w:rPr>
      </w:pPr>
    </w:p>
    <w:p>
      <w:pPr>
        <w:ind w:firstLine="885"/>
        <w:spacing w:after="0" w:line="251" w:lineRule="auto"/>
        <w:tabs>
          <w:tab w:leader="none" w:pos="1788"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more than one counterpart, each of which shall be deemed an original, and all of which shall be deemed a single agreement.</w:t>
      </w:r>
    </w:p>
    <w:p>
      <w:pPr>
        <w:spacing w:after="0" w:line="173" w:lineRule="exact"/>
        <w:rPr>
          <w:rFonts w:ascii="Arial" w:cs="Arial" w:eastAsia="Arial" w:hAnsi="Arial"/>
          <w:sz w:val="22"/>
          <w:szCs w:val="22"/>
          <w:color w:val="auto"/>
        </w:rPr>
      </w:pPr>
    </w:p>
    <w:p>
      <w:pPr>
        <w:ind w:left="1800" w:hanging="915"/>
        <w:spacing w:after="0"/>
        <w:tabs>
          <w:tab w:leader="none" w:pos="180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headings herein are for convenience only and shall not affect the interpretation of this Agreement.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remainder of this page is intentionally left blank.]</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9" w:name="page50"/>
    <w:bookmarkEnd w:id="49"/>
    <w:p>
      <w:pPr>
        <w:spacing w:after="0"/>
        <w:rPr>
          <w:sz w:val="20"/>
          <w:szCs w:val="20"/>
          <w:color w:val="auto"/>
        </w:rPr>
      </w:pPr>
      <w:r>
        <w:rPr>
          <w:rFonts w:ascii="Arial" w:cs="Arial" w:eastAsia="Arial" w:hAnsi="Arial"/>
          <w:sz w:val="19"/>
          <w:szCs w:val="19"/>
          <w:color w:val="auto"/>
        </w:rPr>
        <w:t>IN WITNESS WHEREOF, the parties have executed this Agreement as of the day and year first above written.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Clearside Biomedical, Inc.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Daniel H. White</w:t>
      </w:r>
    </w:p>
    <w:p>
      <w:pPr>
        <w:spacing w:after="0" w:line="238" w:lineRule="auto"/>
        <w:rPr>
          <w:sz w:val="20"/>
          <w:szCs w:val="20"/>
          <w:color w:val="auto"/>
        </w:rPr>
      </w:pPr>
      <w:r>
        <w:rPr>
          <w:rFonts w:ascii="Arial" w:cs="Arial" w:eastAsia="Arial" w:hAnsi="Arial"/>
          <w:sz w:val="22"/>
          <w:szCs w:val="22"/>
          <w:color w:val="auto"/>
        </w:rPr>
        <w:t>Daniel H. White</w:t>
      </w:r>
    </w:p>
    <w:p>
      <w:pPr>
        <w:spacing w:after="0"/>
        <w:rPr>
          <w:sz w:val="20"/>
          <w:szCs w:val="20"/>
          <w:color w:val="auto"/>
        </w:rPr>
      </w:pPr>
      <w:r>
        <w:rPr>
          <w:rFonts w:ascii="Arial" w:cs="Arial" w:eastAsia="Arial" w:hAnsi="Arial"/>
          <w:sz w:val="22"/>
          <w:szCs w:val="22"/>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Charles A. Deignan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Charles A. Deignan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334" w:right="1440" w:bottom="1440" w:gutter="0" w:footer="0" w:header="0"/>
        </w:sectPr>
      </w:pPr>
    </w:p>
    <w:bookmarkStart w:id="50" w:name="page51"/>
    <w:bookmarkEnd w:id="50"/>
    <w:p>
      <w:pPr>
        <w:ind w:left="10360"/>
        <w:spacing w:after="0"/>
        <w:rPr>
          <w:sz w:val="20"/>
          <w:szCs w:val="20"/>
          <w:color w:val="auto"/>
        </w:rPr>
      </w:pPr>
      <w:r>
        <w:rPr>
          <w:rFonts w:ascii="Arial" w:cs="Arial" w:eastAsia="Arial" w:hAnsi="Arial"/>
          <w:sz w:val="19"/>
          <w:szCs w:val="19"/>
          <w:color w:val="auto"/>
        </w:rPr>
        <w:t>Exhibit 10.3</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THIS EXECUTIVE EMPLOYMENT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effective as of August 3, 2017,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Clearside Biomedical,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Glenn Noronha (the “</w:t>
      </w:r>
      <w:r>
        <w:rPr>
          <w:rFonts w:ascii="Arial" w:cs="Arial" w:eastAsia="Arial" w:hAnsi="Arial"/>
          <w:sz w:val="22"/>
          <w:szCs w:val="22"/>
          <w:b w:val="1"/>
          <w:bCs w:val="1"/>
          <w:color w:val="auto"/>
        </w:rPr>
        <w:t>Executive</w:t>
      </w:r>
      <w:r>
        <w:rPr>
          <w:rFonts w:ascii="Arial" w:cs="Arial" w:eastAsia="Arial" w:hAnsi="Arial"/>
          <w:sz w:val="22"/>
          <w:szCs w:val="22"/>
          <w:color w:val="auto"/>
        </w:rPr>
        <w:t>”), an individual residing in Georgia.</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 I T N E S S E T H:</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WHEREAS, the Company and Executive are parties to that certain Offer Letter dated January 11, 2015 (the “</w:t>
      </w:r>
      <w:r>
        <w:rPr>
          <w:rFonts w:ascii="Arial" w:cs="Arial" w:eastAsia="Arial" w:hAnsi="Arial"/>
          <w:sz w:val="19"/>
          <w:szCs w:val="19"/>
          <w:b w:val="1"/>
          <w:bCs w:val="1"/>
          <w:color w:val="auto"/>
        </w:rPr>
        <w:t>Original Agreement</w:t>
      </w:r>
      <w:r>
        <w:rPr>
          <w:rFonts w:ascii="Arial" w:cs="Arial" w:eastAsia="Arial" w:hAnsi="Arial"/>
          <w:sz w:val="19"/>
          <w:szCs w:val="19"/>
          <w:color w:val="auto"/>
        </w:rPr>
        <w:t>”);</w:t>
      </w:r>
    </w:p>
    <w:p>
      <w:pPr>
        <w:spacing w:after="0" w:line="24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WHEREAS, the Company and Executive desire to amend and restated the Original Agreement upon the terms and conditions of this Agreement to set forth the terms and conditions of the Executive’s continued employment from and after the Effective Date.</w:t>
      </w:r>
    </w:p>
    <w:p>
      <w:pPr>
        <w:spacing w:after="0" w:line="1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NOW, THEREFORE, in consideration of the foregoing, of the mutual promises herein, and of other good and valuable consideration, including the continued employment of the Executive by the Company and the compensation to be received by the Executive from the Company from time to time, and specifically the compensation to be received by the Executive pursuant to Section 4 hereof, the receipt and sufficiency of which are hereby acknowledged, the parties hereto, intending legally to be bound, hereby agree as follows:</w:t>
      </w:r>
    </w:p>
    <w:p>
      <w:pPr>
        <w:spacing w:after="0" w:line="143"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1.</w:t>
      </w:r>
      <w:r>
        <w:rPr>
          <w:rFonts w:ascii="Arial" w:cs="Arial" w:eastAsia="Arial" w:hAnsi="Arial"/>
          <w:sz w:val="22"/>
          <w:szCs w:val="22"/>
          <w:u w:val="single" w:color="auto"/>
          <w:color w:val="auto"/>
        </w:rPr>
        <w:t>Employment</w:t>
      </w:r>
      <w:r>
        <w:rPr>
          <w:rFonts w:ascii="Arial" w:cs="Arial" w:eastAsia="Arial" w:hAnsi="Arial"/>
          <w:sz w:val="22"/>
          <w:szCs w:val="22"/>
          <w:color w:val="auto"/>
        </w:rPr>
        <w:t>. The Company hereby employs the Executive and the Executive hereby accepts employment as the Chief Science Officer of the Company upon the terms and conditions of this Agreement.</w:t>
      </w:r>
    </w:p>
    <w:p>
      <w:pPr>
        <w:spacing w:after="0" w:line="173"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 xml:space="preserve">2. </w:t>
      </w:r>
      <w:r>
        <w:rPr>
          <w:rFonts w:ascii="Arial" w:cs="Arial" w:eastAsia="Arial" w:hAnsi="Arial"/>
          <w:sz w:val="19"/>
          <w:szCs w:val="19"/>
          <w:u w:val="single" w:color="auto"/>
          <w:color w:val="auto"/>
        </w:rPr>
        <w:t>Duties</w:t>
      </w:r>
      <w:r>
        <w:rPr>
          <w:rFonts w:ascii="Arial" w:cs="Arial" w:eastAsia="Arial" w:hAnsi="Arial"/>
          <w:sz w:val="19"/>
          <w:szCs w:val="19"/>
          <w:color w:val="auto"/>
        </w:rPr>
        <w:t>. The Executive shall faithfully perform all duties of the Company related to the position or positions held by the Executive, including but not limited to all duties set forth in this Agreement and/or in the Bylaws of the Company related to the position or positions held by the Executive and all additional duties that are prescribed from time to time by the Chief Executive Officer of the Company. The Executive shall devote the Executive’s full time and attention to the performance of the Executive’s duties and responsibilities on behalf of the Company and in furtherance of its best interests; provided, however, that the Executive, subject to the Executive’s obligations hereunder, shall also be permitted to make personal investments, perform reasonable volunteer services and, with the prior consent of the Company, serve on outside boards of directors for non-profit corporations. The Executive shall comply with all Company policies, standards, rules and regulations (the “</w:t>
      </w:r>
      <w:r>
        <w:rPr>
          <w:rFonts w:ascii="Arial" w:cs="Arial" w:eastAsia="Arial" w:hAnsi="Arial"/>
          <w:sz w:val="19"/>
          <w:szCs w:val="19"/>
          <w:b w:val="1"/>
          <w:bCs w:val="1"/>
          <w:color w:val="auto"/>
        </w:rPr>
        <w:t>Company Policies</w:t>
      </w:r>
      <w:r>
        <w:rPr>
          <w:rFonts w:ascii="Arial" w:cs="Arial" w:eastAsia="Arial" w:hAnsi="Arial"/>
          <w:sz w:val="19"/>
          <w:szCs w:val="19"/>
          <w:color w:val="auto"/>
        </w:rPr>
        <w:t>”) and all applicable government laws, rules and regulations that are now or hereafter in effect. The Executive acknowledges receipt of copies of all written Company Policies that are in effect as of the date of this Agreement.</w:t>
      </w:r>
    </w:p>
    <w:p>
      <w:pPr>
        <w:spacing w:after="0" w:line="162"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3. </w:t>
      </w:r>
      <w:r>
        <w:rPr>
          <w:rFonts w:ascii="Arial" w:cs="Arial" w:eastAsia="Arial" w:hAnsi="Arial"/>
          <w:sz w:val="22"/>
          <w:szCs w:val="22"/>
          <w:u w:val="single" w:color="auto"/>
          <w:color w:val="auto"/>
        </w:rPr>
        <w:t>Term</w:t>
      </w:r>
      <w:r>
        <w:rPr>
          <w:rFonts w:ascii="Arial" w:cs="Arial" w:eastAsia="Arial" w:hAnsi="Arial"/>
          <w:sz w:val="22"/>
          <w:szCs w:val="22"/>
          <w:color w:val="auto"/>
        </w:rPr>
        <w:t>. Unless earlier terminated as provided herein, the initial term of this Agreement shall commence on the Effective Date and shall continue until December 31, 2017. Thereafter, this Agreement shall automatically renew on a year-to-year basis on the same terms and conditions set forth herein unless: (a) earlier terminated or amended as provided herein or (b) either party gives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jc w:val="both"/>
        <w:spacing w:after="0" w:line="251" w:lineRule="auto"/>
        <w:rPr>
          <w:sz w:val="20"/>
          <w:szCs w:val="20"/>
          <w:color w:val="auto"/>
        </w:rPr>
      </w:pPr>
      <w:r>
        <w:rPr>
          <w:rFonts w:ascii="Arial" w:cs="Arial" w:eastAsia="Arial" w:hAnsi="Arial"/>
          <w:sz w:val="22"/>
          <w:szCs w:val="22"/>
          <w:color w:val="auto"/>
        </w:rPr>
        <w:t>written notice of non-renewal at least sixty (60) days prior to the end of the initial term or any renewal term of this Agreement. The initial term of this Agreement and all renewals thereof are referred to herein as the “</w:t>
      </w:r>
      <w:r>
        <w:rPr>
          <w:rFonts w:ascii="Arial" w:cs="Arial" w:eastAsia="Arial" w:hAnsi="Arial"/>
          <w:sz w:val="22"/>
          <w:szCs w:val="22"/>
          <w:b w:val="1"/>
          <w:bCs w:val="1"/>
          <w:color w:val="auto"/>
        </w:rPr>
        <w:t>Term</w:t>
      </w:r>
      <w:r>
        <w:rPr>
          <w:rFonts w:ascii="Arial" w:cs="Arial" w:eastAsia="Arial" w:hAnsi="Arial"/>
          <w:sz w:val="22"/>
          <w:szCs w:val="22"/>
          <w:color w:val="auto"/>
        </w:rPr>
        <w:t>.”</w:t>
      </w:r>
    </w:p>
    <w:p>
      <w:pPr>
        <w:spacing w:after="0" w:line="173"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21"/>
          <w:szCs w:val="21"/>
          <w:color w:val="auto"/>
        </w:rPr>
        <w:t xml:space="preserve">4. </w:t>
      </w:r>
      <w:r>
        <w:rPr>
          <w:rFonts w:ascii="Arial" w:cs="Arial" w:eastAsia="Arial" w:hAnsi="Arial"/>
          <w:sz w:val="21"/>
          <w:szCs w:val="21"/>
          <w:u w:val="single" w:color="auto"/>
          <w:color w:val="auto"/>
        </w:rPr>
        <w:t>Compensation</w:t>
      </w:r>
      <w:r>
        <w:rPr>
          <w:rFonts w:ascii="Arial" w:cs="Arial" w:eastAsia="Arial" w:hAnsi="Arial"/>
          <w:sz w:val="21"/>
          <w:szCs w:val="21"/>
          <w:color w:val="auto"/>
        </w:rPr>
        <w:t>. During the Term, as compensation for the services rendered by the Executive under this Agreement, the Executive shall be entitled to receive the following (all payments are subject to applicable withholdings)</w:t>
      </w:r>
    </w:p>
    <w:p>
      <w:pPr>
        <w:spacing w:after="0" w:line="15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(a)</w:t>
      </w:r>
      <w:r>
        <w:rPr>
          <w:rFonts w:ascii="Arial" w:cs="Arial" w:eastAsia="Arial" w:hAnsi="Arial"/>
          <w:sz w:val="21"/>
          <w:szCs w:val="21"/>
          <w:u w:val="single" w:color="auto"/>
          <w:color w:val="auto"/>
        </w:rPr>
        <w:t>Base Salary</w:t>
      </w:r>
      <w:r>
        <w:rPr>
          <w:rFonts w:ascii="Arial" w:cs="Arial" w:eastAsia="Arial" w:hAnsi="Arial"/>
          <w:sz w:val="21"/>
          <w:szCs w:val="21"/>
          <w:color w:val="auto"/>
        </w:rPr>
        <w:t>. The Executive shall receive a monthly salary at a rate of $26,136.58 (equal to an annual salary of $313,639.00) payable in accordance with the then-current payroll schedule of the Company (the “</w:t>
      </w:r>
      <w:r>
        <w:rPr>
          <w:rFonts w:ascii="Arial" w:cs="Arial" w:eastAsia="Arial" w:hAnsi="Arial"/>
          <w:sz w:val="21"/>
          <w:szCs w:val="21"/>
          <w:b w:val="1"/>
          <w:bCs w:val="1"/>
          <w:color w:val="auto"/>
        </w:rPr>
        <w:t>Base Salary</w:t>
      </w:r>
      <w:r>
        <w:rPr>
          <w:rFonts w:ascii="Arial" w:cs="Arial" w:eastAsia="Arial" w:hAnsi="Arial"/>
          <w:sz w:val="21"/>
          <w:szCs w:val="21"/>
          <w:color w:val="auto"/>
        </w:rPr>
        <w:t>”). The Executive's salary may be increased from time to time by the Board of Directors of the Company (the “</w:t>
      </w:r>
      <w:r>
        <w:rPr>
          <w:rFonts w:ascii="Arial" w:cs="Arial" w:eastAsia="Arial" w:hAnsi="Arial"/>
          <w:sz w:val="21"/>
          <w:szCs w:val="21"/>
          <w:b w:val="1"/>
          <w:bCs w:val="1"/>
          <w:color w:val="auto"/>
        </w:rPr>
        <w:t>Board</w:t>
      </w:r>
      <w:r>
        <w:rPr>
          <w:rFonts w:ascii="Arial" w:cs="Arial" w:eastAsia="Arial" w:hAnsi="Arial"/>
          <w:sz w:val="21"/>
          <w:szCs w:val="21"/>
          <w:color w:val="auto"/>
        </w:rPr>
        <w:t>”).</w:t>
      </w:r>
    </w:p>
    <w:p>
      <w:pPr>
        <w:spacing w:after="0" w:line="167" w:lineRule="exact"/>
        <w:rPr>
          <w:sz w:val="20"/>
          <w:szCs w:val="20"/>
          <w:color w:val="auto"/>
        </w:rPr>
      </w:pPr>
    </w:p>
    <w:p>
      <w:pPr>
        <w:jc w:val="both"/>
        <w:ind w:firstLine="1526"/>
        <w:spacing w:after="0" w:line="279" w:lineRule="auto"/>
        <w:rPr>
          <w:sz w:val="20"/>
          <w:szCs w:val="20"/>
          <w:color w:val="auto"/>
        </w:rPr>
      </w:pPr>
      <w:r>
        <w:rPr>
          <w:rFonts w:ascii="Arial" w:cs="Arial" w:eastAsia="Arial" w:hAnsi="Arial"/>
          <w:sz w:val="19"/>
          <w:szCs w:val="19"/>
          <w:color w:val="auto"/>
        </w:rPr>
        <w:t>(b)</w:t>
      </w:r>
      <w:r>
        <w:rPr>
          <w:rFonts w:ascii="Arial" w:cs="Arial" w:eastAsia="Arial" w:hAnsi="Arial"/>
          <w:sz w:val="19"/>
          <w:szCs w:val="19"/>
          <w:u w:val="single" w:color="auto"/>
          <w:color w:val="auto"/>
        </w:rPr>
        <w:t>Bonuses</w:t>
      </w:r>
      <w:r>
        <w:rPr>
          <w:rFonts w:ascii="Arial" w:cs="Arial" w:eastAsia="Arial" w:hAnsi="Arial"/>
          <w:sz w:val="19"/>
          <w:szCs w:val="19"/>
          <w:color w:val="auto"/>
        </w:rPr>
        <w:t>. The Executive shall be eligible to participate in all bonus or similar incentive plans adopted by the Board. The amount awarded, if any, to the Executive under any bonus or incentive plan shall be in the discretion of the Board or any committee administering such plan, based on its assessment of the Executive’s and the Company’s performance during the relevant period, but it is the expectation of the Company that any such bonus would be up to 35% of the Executive’s then-current annual Base Salary (the “</w:t>
      </w:r>
      <w:r>
        <w:rPr>
          <w:rFonts w:ascii="Arial" w:cs="Arial" w:eastAsia="Arial" w:hAnsi="Arial"/>
          <w:sz w:val="19"/>
          <w:szCs w:val="19"/>
          <w:b w:val="1"/>
          <w:bCs w:val="1"/>
          <w:color w:val="auto"/>
        </w:rPr>
        <w:t>Target Bonus</w:t>
      </w:r>
      <w:r>
        <w:rPr>
          <w:rFonts w:ascii="Arial" w:cs="Arial" w:eastAsia="Arial" w:hAnsi="Arial"/>
          <w:sz w:val="19"/>
          <w:szCs w:val="19"/>
          <w:color w:val="auto"/>
        </w:rPr>
        <w:t>”). If a bonus is awarded, unless otherwise specifically provided by the Board or committee administering such plan, it shall be paid between January 1 and March 15 of the year following the year in which such bonus was earned.</w:t>
      </w:r>
    </w:p>
    <w:p>
      <w:pPr>
        <w:spacing w:after="0" w:line="151"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(c)</w:t>
      </w:r>
      <w:r>
        <w:rPr>
          <w:rFonts w:ascii="Arial" w:cs="Arial" w:eastAsia="Arial" w:hAnsi="Arial"/>
          <w:sz w:val="22"/>
          <w:szCs w:val="22"/>
          <w:u w:val="single" w:color="auto"/>
          <w:color w:val="auto"/>
        </w:rPr>
        <w:t>Options</w:t>
      </w:r>
      <w:r>
        <w:rPr>
          <w:rFonts w:ascii="Arial" w:cs="Arial" w:eastAsia="Arial" w:hAnsi="Arial"/>
          <w:sz w:val="22"/>
          <w:szCs w:val="22"/>
          <w:color w:val="auto"/>
        </w:rPr>
        <w:t>. In connection with the Executive’s employment, the Company has issued to the Executive options to purchase shares of the common stock of the Company (the “</w:t>
      </w:r>
      <w:r>
        <w:rPr>
          <w:rFonts w:ascii="Arial" w:cs="Arial" w:eastAsia="Arial" w:hAnsi="Arial"/>
          <w:sz w:val="22"/>
          <w:szCs w:val="22"/>
          <w:b w:val="1"/>
          <w:bCs w:val="1"/>
          <w:color w:val="auto"/>
        </w:rPr>
        <w:t>Options</w:t>
      </w:r>
      <w:r>
        <w:rPr>
          <w:rFonts w:ascii="Arial" w:cs="Arial" w:eastAsia="Arial" w:hAnsi="Arial"/>
          <w:sz w:val="22"/>
          <w:szCs w:val="22"/>
          <w:color w:val="auto"/>
        </w:rPr>
        <w:t>”). The Options have vested or shall vest in accordance with the terms of the stock option Agreements. During the Term of the Agreement, Executive will be eligible to receive additional stock options, restricted stock grants, or other equity incentive awards under or outside of any current or successor equity incentive plans of the Company, as the Board in its sole discretion determines to be appropriate (any such awards, collectively with the Options, “</w:t>
      </w:r>
      <w:r>
        <w:rPr>
          <w:rFonts w:ascii="Arial" w:cs="Arial" w:eastAsia="Arial" w:hAnsi="Arial"/>
          <w:sz w:val="22"/>
          <w:szCs w:val="22"/>
          <w:b w:val="1"/>
          <w:bCs w:val="1"/>
          <w:color w:val="auto"/>
        </w:rPr>
        <w:t>Equity</w:t>
      </w:r>
      <w:r>
        <w:rPr>
          <w:rFonts w:ascii="Arial" w:cs="Arial" w:eastAsia="Arial" w:hAnsi="Arial"/>
          <w:sz w:val="22"/>
          <w:szCs w:val="22"/>
          <w:color w:val="auto"/>
        </w:rPr>
        <w:t xml:space="preserve"> </w:t>
      </w:r>
      <w:r>
        <w:rPr>
          <w:rFonts w:ascii="Arial" w:cs="Arial" w:eastAsia="Arial" w:hAnsi="Arial"/>
          <w:sz w:val="22"/>
          <w:szCs w:val="22"/>
          <w:b w:val="1"/>
          <w:bCs w:val="1"/>
          <w:color w:val="auto"/>
        </w:rPr>
        <w:t>Awards</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(d)</w:t>
      </w:r>
      <w:r>
        <w:rPr>
          <w:rFonts w:ascii="Arial" w:cs="Arial" w:eastAsia="Arial" w:hAnsi="Arial"/>
          <w:sz w:val="21"/>
          <w:szCs w:val="21"/>
          <w:u w:val="single" w:color="auto"/>
          <w:color w:val="auto"/>
        </w:rPr>
        <w:t>Benefits</w:t>
      </w:r>
      <w:r>
        <w:rPr>
          <w:rFonts w:ascii="Arial" w:cs="Arial" w:eastAsia="Arial" w:hAnsi="Arial"/>
          <w:sz w:val="21"/>
          <w:szCs w:val="21"/>
          <w:color w:val="auto"/>
        </w:rPr>
        <w:t>. The Executive shall be entitled to receive those benefits provided from time to time to other executive employees of the Company, in accordance with the terms and conditions of the applicable plan documents; provided that the Executive meets the eligibility requirements thereof. All such benefits are subject to amendment or termination from time to time by the Company without the consent of the Executive or any other employee of the Company.</w:t>
      </w:r>
    </w:p>
    <w:p>
      <w:pPr>
        <w:spacing w:after="0" w:line="174"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 xml:space="preserve">(e) </w:t>
      </w:r>
      <w:r>
        <w:rPr>
          <w:rFonts w:ascii="Arial" w:cs="Arial" w:eastAsia="Arial" w:hAnsi="Arial"/>
          <w:sz w:val="19"/>
          <w:szCs w:val="19"/>
          <w:u w:val="single" w:color="auto"/>
          <w:color w:val="auto"/>
        </w:rPr>
        <w:t>Vacation</w:t>
      </w:r>
      <w:r>
        <w:rPr>
          <w:rFonts w:ascii="Arial" w:cs="Arial" w:eastAsia="Arial" w:hAnsi="Arial"/>
          <w:sz w:val="19"/>
          <w:szCs w:val="19"/>
          <w:color w:val="auto"/>
        </w:rPr>
        <w:t xml:space="preserve">. The Executive shall be entitled to four (4) weeks paid vacation per calendar year (with the vacation for any partial year being prorated) and shall be entitled to carry over one-half of the total Vacation days earned in one calendar year to the subsequent calendar year;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no event may the Executive carry over more than two</w:t>
      </w:r>
    </w:p>
    <w:p>
      <w:pPr>
        <w:spacing w:after="0" w:line="2" w:lineRule="exact"/>
        <w:rPr>
          <w:sz w:val="20"/>
          <w:szCs w:val="20"/>
          <w:color w:val="auto"/>
        </w:rPr>
      </w:pPr>
    </w:p>
    <w:p>
      <w:pPr>
        <w:ind w:firstLine="8"/>
        <w:spacing w:after="0" w:line="237" w:lineRule="auto"/>
        <w:tabs>
          <w:tab w:leader="none" w:pos="311" w:val="left"/>
        </w:tabs>
        <w:numPr>
          <w:ilvl w:val="0"/>
          <w:numId w:val="49"/>
        </w:numPr>
        <w:rPr>
          <w:rFonts w:ascii="Arial" w:cs="Arial" w:eastAsia="Arial" w:hAnsi="Arial"/>
          <w:sz w:val="22"/>
          <w:szCs w:val="22"/>
          <w:color w:val="auto"/>
        </w:rPr>
      </w:pPr>
      <w:r>
        <w:rPr>
          <w:rFonts w:ascii="Arial" w:cs="Arial" w:eastAsia="Arial" w:hAnsi="Arial"/>
          <w:sz w:val="22"/>
          <w:szCs w:val="22"/>
          <w:color w:val="auto"/>
        </w:rPr>
        <w:t>weeks of paid vacation into a subsequent year. Upon the termination of the Executive’s employment with the Company, no cash shall be paid in lieu of accrued but unused vacation.</w:t>
      </w:r>
    </w:p>
    <w:p>
      <w:pPr>
        <w:spacing w:after="0" w:line="184" w:lineRule="exact"/>
        <w:rPr>
          <w:rFonts w:ascii="Arial" w:cs="Arial" w:eastAsia="Arial" w:hAnsi="Arial"/>
          <w:sz w:val="22"/>
          <w:szCs w:val="22"/>
          <w:color w:val="auto"/>
        </w:rPr>
      </w:pPr>
    </w:p>
    <w:p>
      <w:pPr>
        <w:ind w:left="920" w:hanging="264"/>
        <w:spacing w:after="0"/>
        <w:tabs>
          <w:tab w:leader="none" w:pos="920"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Annual Physical Exam</w:t>
      </w:r>
      <w:r>
        <w:rPr>
          <w:rFonts w:ascii="Arial" w:cs="Arial" w:eastAsia="Arial" w:hAnsi="Arial"/>
          <w:sz w:val="19"/>
          <w:szCs w:val="19"/>
          <w:color w:val="auto"/>
        </w:rPr>
        <w:t>. The Company shall bear the cost of one comprehensive physical examination per calendar year.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2" w:name="page53"/>
    <w:bookmarkEnd w:id="52"/>
    <w:p>
      <w:pPr>
        <w:jc w:val="both"/>
        <w:ind w:firstLine="656"/>
        <w:spacing w:after="0" w:line="297" w:lineRule="auto"/>
        <w:tabs>
          <w:tab w:leader="none" w:pos="154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Business Expenses</w:t>
      </w:r>
      <w:r>
        <w:rPr>
          <w:rFonts w:ascii="Arial" w:cs="Arial" w:eastAsia="Arial" w:hAnsi="Arial"/>
          <w:sz w:val="19"/>
          <w:szCs w:val="19"/>
          <w:color w:val="auto"/>
        </w:rPr>
        <w:t>. The Company shall pay, or reimburse the Executive for, all reasonable expenses incurred by the Executive directly related to conduct of the business of the Company; provided that, the Executive complies with the Company’s policies for the reimbursement or advancement of business expenses that are now or hereafter in effect.</w:t>
      </w:r>
    </w:p>
    <w:p>
      <w:pPr>
        <w:spacing w:after="0" w:line="134" w:lineRule="exact"/>
        <w:rPr>
          <w:rFonts w:ascii="Arial" w:cs="Arial" w:eastAsia="Arial" w:hAnsi="Arial"/>
          <w:sz w:val="19"/>
          <w:szCs w:val="19"/>
          <w:color w:val="auto"/>
        </w:rPr>
      </w:pPr>
    </w:p>
    <w:p>
      <w:pPr>
        <w:ind w:firstLine="885"/>
        <w:spacing w:after="0" w:line="251" w:lineRule="auto"/>
        <w:tabs>
          <w:tab w:leader="none" w:pos="1682"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This Agreement and the Executive’s employment by the Company shall or may be terminated, as the case may be, as follows:</w:t>
      </w:r>
    </w:p>
    <w:p>
      <w:pPr>
        <w:spacing w:after="0" w:line="173" w:lineRule="exact"/>
        <w:rPr>
          <w:sz w:val="20"/>
          <w:szCs w:val="20"/>
          <w:color w:val="auto"/>
        </w:rPr>
      </w:pPr>
    </w:p>
    <w:p>
      <w:pPr>
        <w:ind w:firstLine="1755"/>
        <w:spacing w:after="0" w:line="251" w:lineRule="auto"/>
        <w:rPr>
          <w:sz w:val="20"/>
          <w:szCs w:val="20"/>
          <w:color w:val="auto"/>
        </w:rPr>
      </w:pPr>
      <w:r>
        <w:rPr>
          <w:rFonts w:ascii="Arial" w:cs="Arial" w:eastAsia="Arial" w:hAnsi="Arial"/>
          <w:sz w:val="22"/>
          <w:szCs w:val="22"/>
          <w:color w:val="auto"/>
        </w:rPr>
        <w:t>(a)</w:t>
      </w:r>
      <w:r>
        <w:rPr>
          <w:rFonts w:ascii="Arial" w:cs="Arial" w:eastAsia="Arial" w:hAnsi="Arial"/>
          <w:sz w:val="22"/>
          <w:szCs w:val="22"/>
          <w:u w:val="single" w:color="auto"/>
          <w:color w:val="auto"/>
        </w:rPr>
        <w:t>Termination upon Expiration of the Term</w:t>
      </w:r>
      <w:r>
        <w:rPr>
          <w:rFonts w:ascii="Arial" w:cs="Arial" w:eastAsia="Arial" w:hAnsi="Arial"/>
          <w:sz w:val="22"/>
          <w:szCs w:val="22"/>
          <w:color w:val="auto"/>
        </w:rPr>
        <w:t>. This Agreement and the Executive’s employment by the Company shall terminate upon the expiration of the Term, unless renewed.</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(b)</w:t>
      </w:r>
      <w:r>
        <w:rPr>
          <w:rFonts w:ascii="Arial" w:cs="Arial" w:eastAsia="Arial" w:hAnsi="Arial"/>
          <w:sz w:val="19"/>
          <w:szCs w:val="19"/>
          <w:u w:val="single" w:color="auto"/>
          <w:color w:val="auto"/>
        </w:rPr>
        <w:t>Termination by the Executive</w:t>
      </w:r>
      <w:r>
        <w:rPr>
          <w:rFonts w:ascii="Arial" w:cs="Arial" w:eastAsia="Arial" w:hAnsi="Arial"/>
          <w:sz w:val="19"/>
          <w:szCs w:val="19"/>
          <w:color w:val="auto"/>
        </w:rPr>
        <w:t>. The Executive may terminate this Agreement and Executive’s employment by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Company:</w:t>
      </w:r>
    </w:p>
    <w:p>
      <w:pPr>
        <w:spacing w:after="0" w:line="182" w:lineRule="exact"/>
        <w:rPr>
          <w:sz w:val="20"/>
          <w:szCs w:val="20"/>
          <w:color w:val="auto"/>
        </w:rPr>
      </w:pPr>
    </w:p>
    <w:p>
      <w:pPr>
        <w:jc w:val="both"/>
        <w:ind w:firstLine="2642"/>
        <w:spacing w:after="0" w:line="245" w:lineRule="auto"/>
        <w:tabs>
          <w:tab w:leader="none" w:pos="2908" w:val="left"/>
        </w:tabs>
        <w:numPr>
          <w:ilvl w:val="0"/>
          <w:numId w:val="51"/>
        </w:numPr>
        <w:rPr>
          <w:rFonts w:ascii="Arial" w:cs="Arial" w:eastAsia="Arial" w:hAnsi="Arial"/>
          <w:sz w:val="21"/>
          <w:szCs w:val="21"/>
          <w:color w:val="auto"/>
        </w:rPr>
      </w:pPr>
      <w:r>
        <w:rPr>
          <w:rFonts w:ascii="Arial" w:cs="Arial" w:eastAsia="Arial" w:hAnsi="Arial"/>
          <w:sz w:val="21"/>
          <w:szCs w:val="21"/>
          <w:color w:val="auto"/>
        </w:rPr>
        <w:t>for “Good Reason” (as defined herein). For purposes of this Agreement, “</w:t>
      </w:r>
      <w:r>
        <w:rPr>
          <w:rFonts w:ascii="Arial" w:cs="Arial" w:eastAsia="Arial" w:hAnsi="Arial"/>
          <w:sz w:val="21"/>
          <w:szCs w:val="21"/>
          <w:b w:val="1"/>
          <w:bCs w:val="1"/>
          <w:color w:val="auto"/>
        </w:rPr>
        <w:t>Good Reason</w:t>
      </w:r>
      <w:r>
        <w:rPr>
          <w:rFonts w:ascii="Arial" w:cs="Arial" w:eastAsia="Arial" w:hAnsi="Arial"/>
          <w:sz w:val="21"/>
          <w:szCs w:val="21"/>
          <w:color w:val="auto"/>
        </w:rPr>
        <w:t>” shall mean, the existence, without the consent of the Executive, of any of the following events: (A) the Executive’s duties and responsibilities or salary are substantially reduced or diminished; (B) the Company materially breaches its obligations under this Agreement; or (C) the Executive’s place of employment is relocated by more than fifty (50) miles. In addition to any requirements set forth above, in order for any of the above events to constitute “Good Reason”, the Executive must (X) provide written notice to the CEO or the Board of the existence of the event within thirty (30) days of the initial existence of the event, after which date the Company shall have sixty (60) days to cure the event which otherwise would constitute “Good Reason” hereunder, and (Y) notify Company in writing and with specificity if the Company’s cure was insufficient, and if such notice is provided, the Executive must terminate the Executive’s employment with the Company for such “Good Reason” no later than sixty (60) days after the end of the Company’s cure period set forth in (X), above.</w:t>
      </w:r>
    </w:p>
    <w:p>
      <w:pPr>
        <w:spacing w:after="0" w:line="188" w:lineRule="exact"/>
        <w:rPr>
          <w:sz w:val="20"/>
          <w:szCs w:val="20"/>
          <w:color w:val="auto"/>
        </w:rPr>
      </w:pPr>
    </w:p>
    <w:p>
      <w:pPr>
        <w:jc w:val="center"/>
        <w:ind w:left="260"/>
        <w:spacing w:after="0"/>
        <w:rPr>
          <w:sz w:val="20"/>
          <w:szCs w:val="20"/>
          <w:color w:val="auto"/>
        </w:rPr>
      </w:pPr>
      <w:r>
        <w:rPr>
          <w:rFonts w:ascii="Arial" w:cs="Arial" w:eastAsia="Arial" w:hAnsi="Arial"/>
          <w:sz w:val="22"/>
          <w:szCs w:val="22"/>
          <w:color w:val="auto"/>
        </w:rPr>
        <w:t>(ii)Other than for Good Reason thirty (30) days after notice to the Company.</w:t>
      </w:r>
    </w:p>
    <w:p>
      <w:pPr>
        <w:spacing w:after="0" w:line="206" w:lineRule="exact"/>
        <w:rPr>
          <w:sz w:val="20"/>
          <w:szCs w:val="20"/>
          <w:color w:val="auto"/>
        </w:rPr>
      </w:pPr>
    </w:p>
    <w:p>
      <w:pPr>
        <w:ind w:firstLine="1755"/>
        <w:spacing w:after="0" w:line="251" w:lineRule="auto"/>
        <w:rPr>
          <w:sz w:val="20"/>
          <w:szCs w:val="20"/>
          <w:color w:val="auto"/>
        </w:rPr>
      </w:pPr>
      <w:r>
        <w:rPr>
          <w:rFonts w:ascii="Arial" w:cs="Arial" w:eastAsia="Arial" w:hAnsi="Arial"/>
          <w:sz w:val="22"/>
          <w:szCs w:val="22"/>
          <w:color w:val="auto"/>
        </w:rPr>
        <w:t>(c)</w:t>
      </w:r>
      <w:r>
        <w:rPr>
          <w:rFonts w:ascii="Arial" w:cs="Arial" w:eastAsia="Arial" w:hAnsi="Arial"/>
          <w:sz w:val="22"/>
          <w:szCs w:val="22"/>
          <w:u w:val="single" w:color="auto"/>
          <w:color w:val="auto"/>
        </w:rPr>
        <w:t>Termination by the Company</w:t>
      </w:r>
      <w:r>
        <w:rPr>
          <w:rFonts w:ascii="Arial" w:cs="Arial" w:eastAsia="Arial" w:hAnsi="Arial"/>
          <w:sz w:val="22"/>
          <w:szCs w:val="22"/>
          <w:color w:val="auto"/>
        </w:rPr>
        <w:t>. The Company may terminate this Agreement and the Executive’s employment by the Company upon notice to the Executive (or Executive’s personal representative):</w:t>
      </w:r>
    </w:p>
    <w:p>
      <w:pPr>
        <w:spacing w:after="0" w:line="173"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(i)at any time and for any reason;</w:t>
      </w:r>
    </w:p>
    <w:p>
      <w:pPr>
        <w:spacing w:after="0" w:line="206" w:lineRule="exact"/>
        <w:rPr>
          <w:sz w:val="20"/>
          <w:szCs w:val="20"/>
          <w:color w:val="auto"/>
        </w:rPr>
      </w:pPr>
    </w:p>
    <w:p>
      <w:pPr>
        <w:jc w:val="both"/>
        <w:ind w:firstLine="2642"/>
        <w:spacing w:after="0"/>
        <w:tabs>
          <w:tab w:leader="none" w:pos="3535" w:val="left"/>
        </w:tabs>
        <w:numPr>
          <w:ilvl w:val="0"/>
          <w:numId w:val="52"/>
        </w:numPr>
        <w:rPr>
          <w:rFonts w:ascii="Arial" w:cs="Arial" w:eastAsia="Arial" w:hAnsi="Arial"/>
          <w:sz w:val="22"/>
          <w:szCs w:val="22"/>
          <w:color w:val="auto"/>
        </w:rPr>
      </w:pPr>
      <w:r>
        <w:rPr>
          <w:rFonts w:ascii="Arial" w:cs="Arial" w:eastAsia="Arial" w:hAnsi="Arial"/>
          <w:sz w:val="22"/>
          <w:szCs w:val="22"/>
          <w:color w:val="auto"/>
        </w:rPr>
        <w:t>upon the death of the Executive, in which case this Agreement shall terminate immediately; provided that, such termination shall not prejudice any benefits payable to the Executive’s spouse or beneficiaries which are fully vested as of the date of death;</w:t>
      </w:r>
    </w:p>
    <w:p>
      <w:pPr>
        <w:spacing w:after="0" w:line="213" w:lineRule="exact"/>
        <w:rPr>
          <w:rFonts w:ascii="Arial" w:cs="Arial" w:eastAsia="Arial" w:hAnsi="Arial"/>
          <w:sz w:val="22"/>
          <w:szCs w:val="22"/>
          <w:color w:val="auto"/>
        </w:rPr>
      </w:pPr>
    </w:p>
    <w:p>
      <w:pPr>
        <w:jc w:val="both"/>
        <w:ind w:firstLine="2642"/>
        <w:spacing w:after="0" w:line="287" w:lineRule="auto"/>
        <w:tabs>
          <w:tab w:leader="none" w:pos="3592" w:val="left"/>
        </w:tabs>
        <w:numPr>
          <w:ilvl w:val="0"/>
          <w:numId w:val="52"/>
        </w:numPr>
        <w:rPr>
          <w:rFonts w:ascii="Arial" w:cs="Arial" w:eastAsia="Arial" w:hAnsi="Arial"/>
          <w:sz w:val="19"/>
          <w:szCs w:val="19"/>
          <w:color w:val="auto"/>
        </w:rPr>
      </w:pPr>
      <w:r>
        <w:rPr>
          <w:rFonts w:ascii="Arial" w:cs="Arial" w:eastAsia="Arial" w:hAnsi="Arial"/>
          <w:sz w:val="19"/>
          <w:szCs w:val="19"/>
          <w:color w:val="auto"/>
        </w:rPr>
        <w:t>if the Executive is “permanently disabled” (as defined herein), in which case this Agreement shall terminate immediately; provided that, such termination shall not prejudice any benefits payable to the Executive, the Executive’s spouse or beneficiaries which are fully vested as of the date of the termination of this Agreement. For purposes of this Agreement, the Executive shall be considered “</w:t>
      </w:r>
      <w:r>
        <w:rPr>
          <w:rFonts w:ascii="Arial" w:cs="Arial" w:eastAsia="Arial" w:hAnsi="Arial"/>
          <w:sz w:val="19"/>
          <w:szCs w:val="19"/>
          <w:b w:val="1"/>
          <w:bCs w:val="1"/>
          <w:color w:val="auto"/>
        </w:rPr>
        <w:t>permanently disabled</w:t>
      </w:r>
      <w:r>
        <w:rPr>
          <w:rFonts w:ascii="Arial" w:cs="Arial" w:eastAsia="Arial" w:hAnsi="Arial"/>
          <w:sz w:val="19"/>
          <w:szCs w:val="19"/>
          <w:color w:val="auto"/>
        </w:rPr>
        <w:t>” when a qualified medical doctor mutually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3" w:name="page54"/>
    <w:bookmarkEnd w:id="53"/>
    <w:p>
      <w:pPr>
        <w:jc w:val="both"/>
        <w:spacing w:after="0" w:line="279" w:lineRule="auto"/>
        <w:rPr>
          <w:sz w:val="20"/>
          <w:szCs w:val="20"/>
          <w:color w:val="auto"/>
        </w:rPr>
      </w:pPr>
      <w:r>
        <w:rPr>
          <w:rFonts w:ascii="Arial" w:cs="Arial" w:eastAsia="Arial" w:hAnsi="Arial"/>
          <w:sz w:val="19"/>
          <w:szCs w:val="19"/>
          <w:color w:val="auto"/>
        </w:rPr>
        <w:t>acceptable to the Company and the Executive or the Executive’s personal representative shall have certified in writing that: (A) the Executive is unable, because of a medically determinable physical or mental disability, to perform substantially all of the Executive’s duties, with or without a reasonable accommodation, for more than one hundred and eighty (180) calendar days measured from the last full day of work; or (B) by reason of mental or physical disability, it is unlikely that the Executive will be able, within one hundred and eighty (180) calendar days, to resume substantially all business duties and responsibilities in which the Executive was previously engaged and otherwise discharge the Executive’s duties under this Agreement;</w:t>
      </w:r>
    </w:p>
    <w:p>
      <w:pPr>
        <w:spacing w:after="0" w:line="151" w:lineRule="exact"/>
        <w:rPr>
          <w:sz w:val="20"/>
          <w:szCs w:val="20"/>
          <w:color w:val="auto"/>
        </w:rPr>
      </w:pPr>
    </w:p>
    <w:p>
      <w:pPr>
        <w:jc w:val="both"/>
        <w:ind w:firstLine="2642"/>
        <w:spacing w:after="0" w:line="238" w:lineRule="auto"/>
        <w:tabs>
          <w:tab w:leader="none" w:pos="3583" w:val="left"/>
        </w:tabs>
        <w:numPr>
          <w:ilvl w:val="0"/>
          <w:numId w:val="53"/>
        </w:numPr>
        <w:rPr>
          <w:rFonts w:ascii="Arial" w:cs="Arial" w:eastAsia="Arial" w:hAnsi="Arial"/>
          <w:sz w:val="22"/>
          <w:szCs w:val="22"/>
          <w:color w:val="auto"/>
        </w:rPr>
      </w:pPr>
      <w:r>
        <w:rPr>
          <w:rFonts w:ascii="Arial" w:cs="Arial" w:eastAsia="Arial" w:hAnsi="Arial"/>
          <w:sz w:val="22"/>
          <w:szCs w:val="22"/>
          <w:color w:val="auto"/>
        </w:rPr>
        <w:t>upon the liquidation, dissolution or discontinuance of business by the Company in any manner or the filing of any petition by or against the Company under any federal or state bankruptcy or insolvency laws, which petition shall not be dismissed within sixty (60) days after filing; provided that, such termination shall not prejudice the Executive’s rights as a stockholder or a creditor of the Company; or</w:t>
      </w:r>
    </w:p>
    <w:p>
      <w:pPr>
        <w:spacing w:after="0" w:line="179" w:lineRule="exact"/>
        <w:rPr>
          <w:sz w:val="20"/>
          <w:szCs w:val="20"/>
          <w:color w:val="auto"/>
        </w:rPr>
      </w:pPr>
    </w:p>
    <w:p>
      <w:pPr>
        <w:jc w:val="both"/>
        <w:ind w:right="20" w:firstLine="2634"/>
        <w:spacing w:after="0" w:line="256" w:lineRule="auto"/>
        <w:rPr>
          <w:sz w:val="20"/>
          <w:szCs w:val="20"/>
          <w:color w:val="auto"/>
        </w:rPr>
      </w:pPr>
      <w:r>
        <w:rPr>
          <w:rFonts w:ascii="Arial" w:cs="Arial" w:eastAsia="Arial" w:hAnsi="Arial"/>
          <w:sz w:val="22"/>
          <w:szCs w:val="22"/>
          <w:color w:val="auto"/>
        </w:rPr>
        <w:t>(v)"for cause" (as defined herein). “</w:t>
      </w:r>
      <w:r>
        <w:rPr>
          <w:rFonts w:ascii="Arial" w:cs="Arial" w:eastAsia="Arial" w:hAnsi="Arial"/>
          <w:sz w:val="22"/>
          <w:szCs w:val="22"/>
          <w:b w:val="1"/>
          <w:bCs w:val="1"/>
          <w:color w:val="auto"/>
        </w:rPr>
        <w:t>For cause</w:t>
      </w:r>
      <w:r>
        <w:rPr>
          <w:rFonts w:ascii="Arial" w:cs="Arial" w:eastAsia="Arial" w:hAnsi="Arial"/>
          <w:sz w:val="22"/>
          <w:szCs w:val="22"/>
          <w:color w:val="auto"/>
        </w:rPr>
        <w:t>” shall be determined by the Board by a majority vote without the participation of the Executive in such vote and shall mean:</w:t>
      </w:r>
    </w:p>
    <w:p>
      <w:pPr>
        <w:spacing w:after="0" w:line="169" w:lineRule="exact"/>
        <w:rPr>
          <w:sz w:val="20"/>
          <w:szCs w:val="20"/>
          <w:color w:val="auto"/>
        </w:rPr>
      </w:pPr>
    </w:p>
    <w:p>
      <w:pPr>
        <w:jc w:val="both"/>
        <w:ind w:firstLine="3511"/>
        <w:spacing w:after="0" w:line="297" w:lineRule="auto"/>
        <w:rPr>
          <w:sz w:val="20"/>
          <w:szCs w:val="20"/>
          <w:color w:val="auto"/>
        </w:rPr>
      </w:pPr>
      <w:r>
        <w:rPr>
          <w:rFonts w:ascii="Arial" w:cs="Arial" w:eastAsia="Arial" w:hAnsi="Arial"/>
          <w:sz w:val="19"/>
          <w:szCs w:val="19"/>
          <w:color w:val="auto"/>
        </w:rPr>
        <w:t>(A)Any material breach of the terms of this Agreement by the Executive, or the failure of the Executive to diligently and properly perform the Executive’s duties for the Company or the Executive’s failure to achieve the objectives specified by the CEO or the Board , which breach or failure is not cured within thirty (30) days after written notice thereof;</w:t>
      </w:r>
    </w:p>
    <w:p>
      <w:pPr>
        <w:spacing w:after="0" w:line="134" w:lineRule="exact"/>
        <w:rPr>
          <w:sz w:val="20"/>
          <w:szCs w:val="20"/>
          <w:color w:val="auto"/>
        </w:rPr>
      </w:pPr>
    </w:p>
    <w:p>
      <w:pPr>
        <w:jc w:val="both"/>
        <w:ind w:firstLine="3511"/>
        <w:spacing w:after="0"/>
        <w:rPr>
          <w:sz w:val="20"/>
          <w:szCs w:val="20"/>
          <w:color w:val="auto"/>
        </w:rPr>
      </w:pPr>
      <w:r>
        <w:rPr>
          <w:rFonts w:ascii="Arial" w:cs="Arial" w:eastAsia="Arial" w:hAnsi="Arial"/>
          <w:sz w:val="22"/>
          <w:szCs w:val="22"/>
          <w:color w:val="auto"/>
        </w:rPr>
        <w:t>(B)The Executive’s misappropriation or unauthorized use of the Company’s tangible or intangible property, or breach of the Proprietary Information Agreement (as defined herein) or any other similar agreement regarding confidentiality, intellectual property rights, non-competition or non-solicitation;</w:t>
      </w:r>
    </w:p>
    <w:p>
      <w:pPr>
        <w:spacing w:after="0" w:line="186" w:lineRule="exact"/>
        <w:rPr>
          <w:sz w:val="20"/>
          <w:szCs w:val="20"/>
          <w:color w:val="auto"/>
        </w:rPr>
      </w:pPr>
    </w:p>
    <w:p>
      <w:pPr>
        <w:jc w:val="both"/>
        <w:ind w:firstLine="3511"/>
        <w:spacing w:after="0" w:line="238" w:lineRule="auto"/>
        <w:rPr>
          <w:sz w:val="20"/>
          <w:szCs w:val="20"/>
          <w:color w:val="auto"/>
        </w:rPr>
      </w:pPr>
      <w:r>
        <w:rPr>
          <w:rFonts w:ascii="Arial" w:cs="Arial" w:eastAsia="Arial" w:hAnsi="Arial"/>
          <w:sz w:val="22"/>
          <w:szCs w:val="22"/>
          <w:color w:val="auto"/>
        </w:rPr>
        <w:t xml:space="preserve">(C)Any material failure to comply with the Company Policies or any other policies and/or directives of the Board, which failure is not cured within thirty (30) days after written notice thereof; </w:t>
      </w:r>
      <w:r>
        <w:rPr>
          <w:rFonts w:ascii="Arial" w:cs="Arial" w:eastAsia="Arial" w:hAnsi="Arial"/>
          <w:sz w:val="22"/>
          <w:szCs w:val="22"/>
          <w:i w:val="1"/>
          <w:iCs w:val="1"/>
          <w:color w:val="auto"/>
        </w:rPr>
        <w:t>provided, however</w:t>
      </w:r>
      <w:r>
        <w:rPr>
          <w:rFonts w:ascii="Arial" w:cs="Arial" w:eastAsia="Arial" w:hAnsi="Arial"/>
          <w:sz w:val="22"/>
          <w:szCs w:val="22"/>
          <w:color w:val="auto"/>
        </w:rPr>
        <w:t>, in the case of failure to comply with Company Policies related to harassment, unlawful discrimination, retaliation or workplace violence a thirty (30) day cure period and written notice thereof is not required;</w:t>
      </w:r>
    </w:p>
    <w:p>
      <w:pPr>
        <w:spacing w:after="0" w:line="185" w:lineRule="exact"/>
        <w:rPr>
          <w:sz w:val="20"/>
          <w:szCs w:val="20"/>
          <w:color w:val="auto"/>
        </w:rPr>
      </w:pPr>
    </w:p>
    <w:p>
      <w:pPr>
        <w:ind w:firstLine="3511"/>
        <w:spacing w:after="0" w:line="328" w:lineRule="auto"/>
        <w:rPr>
          <w:sz w:val="20"/>
          <w:szCs w:val="20"/>
          <w:color w:val="auto"/>
        </w:rPr>
      </w:pPr>
      <w:r>
        <w:rPr>
          <w:rFonts w:ascii="Arial" w:cs="Arial" w:eastAsia="Arial" w:hAnsi="Arial"/>
          <w:sz w:val="19"/>
          <w:szCs w:val="19"/>
          <w:color w:val="auto"/>
        </w:rPr>
        <w:t>(D)The Executive’s use of illegal drugs or any illegal substance, or the Executive’s use of alcohol in any manner that materially interferes with the performance of the Executive’s duties under this Agreement;</w:t>
      </w:r>
    </w:p>
    <w:p>
      <w:pPr>
        <w:spacing w:after="0" w:line="105" w:lineRule="exact"/>
        <w:rPr>
          <w:sz w:val="20"/>
          <w:szCs w:val="20"/>
          <w:color w:val="auto"/>
        </w:rPr>
      </w:pPr>
    </w:p>
    <w:p>
      <w:pPr>
        <w:jc w:val="both"/>
        <w:ind w:firstLine="3511"/>
        <w:spacing w:after="0"/>
        <w:rPr>
          <w:sz w:val="20"/>
          <w:szCs w:val="20"/>
          <w:color w:val="auto"/>
        </w:rPr>
      </w:pPr>
      <w:r>
        <w:rPr>
          <w:rFonts w:ascii="Arial" w:cs="Arial" w:eastAsia="Arial" w:hAnsi="Arial"/>
          <w:sz w:val="22"/>
          <w:szCs w:val="22"/>
          <w:color w:val="auto"/>
        </w:rPr>
        <w:t>(E)Any dishonest or illegal action (including, without limitation, embezzlement) or any other action whether or not dishonest or illegal by the Executive which is materially detrimental to the interest and well-being of the Company, including, without limitation, harm to its reputation;</w:t>
      </w:r>
    </w:p>
    <w:p>
      <w:pPr>
        <w:spacing w:after="0" w:line="186" w:lineRule="exact"/>
        <w:rPr>
          <w:sz w:val="20"/>
          <w:szCs w:val="20"/>
          <w:color w:val="auto"/>
        </w:rPr>
      </w:pPr>
    </w:p>
    <w:p>
      <w:pPr>
        <w:jc w:val="both"/>
        <w:ind w:firstLine="3511"/>
        <w:spacing w:after="0"/>
        <w:rPr>
          <w:sz w:val="20"/>
          <w:szCs w:val="20"/>
          <w:color w:val="auto"/>
        </w:rPr>
      </w:pPr>
      <w:r>
        <w:rPr>
          <w:rFonts w:ascii="Arial" w:cs="Arial" w:eastAsia="Arial" w:hAnsi="Arial"/>
          <w:sz w:val="22"/>
          <w:szCs w:val="22"/>
          <w:color w:val="auto"/>
        </w:rPr>
        <w:t>(F)The Executive’s failure to fully disclose any material conflict of interest that the Executive may have with the Company in a transaction between the Company and any third party which is materially detrimental to the interest and well-being of the Company; 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4" w:name="page55"/>
    <w:bookmarkEnd w:id="54"/>
    <w:p>
      <w:pPr>
        <w:jc w:val="both"/>
        <w:ind w:firstLine="3511"/>
        <w:spacing w:after="0" w:line="238" w:lineRule="auto"/>
        <w:rPr>
          <w:sz w:val="20"/>
          <w:szCs w:val="20"/>
          <w:color w:val="auto"/>
        </w:rPr>
      </w:pPr>
      <w:r>
        <w:rPr>
          <w:rFonts w:ascii="Arial" w:cs="Arial" w:eastAsia="Arial" w:hAnsi="Arial"/>
          <w:sz w:val="22"/>
          <w:szCs w:val="22"/>
          <w:color w:val="auto"/>
        </w:rPr>
        <w:t>(G)Any adverse action or omission by the Executive which would be required to be disclosed pursuant to public securities laws or which would limit the ability of the Company or any entity affiliated with the Company to sell securities under any Federal or state law or which would disqualify the Company or any affiliated entity from any exemption otherwise available to it.</w:t>
      </w:r>
    </w:p>
    <w:p>
      <w:pPr>
        <w:spacing w:after="0" w:line="185" w:lineRule="exact"/>
        <w:rPr>
          <w:sz w:val="20"/>
          <w:szCs w:val="20"/>
          <w:color w:val="auto"/>
        </w:rPr>
      </w:pPr>
    </w:p>
    <w:p>
      <w:pPr>
        <w:ind w:left="2660" w:hanging="897"/>
        <w:spacing w:after="0"/>
        <w:tabs>
          <w:tab w:leader="none" w:pos="2660"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Obligations of the Company Upon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642"/>
        <w:spacing w:after="0" w:line="279" w:lineRule="auto"/>
        <w:tabs>
          <w:tab w:leader="none" w:pos="3478" w:val="left"/>
        </w:tabs>
        <w:numPr>
          <w:ilvl w:val="2"/>
          <w:numId w:val="54"/>
        </w:numPr>
        <w:rPr>
          <w:rFonts w:ascii="Arial" w:cs="Arial" w:eastAsia="Arial" w:hAnsi="Arial"/>
          <w:sz w:val="19"/>
          <w:szCs w:val="19"/>
          <w:color w:val="auto"/>
        </w:rPr>
      </w:pPr>
      <w:r>
        <w:rPr>
          <w:rFonts w:ascii="Arial" w:cs="Arial" w:eastAsia="Arial" w:hAnsi="Arial"/>
          <w:sz w:val="19"/>
          <w:szCs w:val="19"/>
          <w:color w:val="auto"/>
        </w:rPr>
        <w:t>Upon the termination of this Agreement: (A) pursuant to the expiration of the Term upon notice of non-renewal of the Term given by the Executive; (B) by the Executive pursuant to paragraph 5(b)(ii); or (C) by the Company pursuant to paragraph 5(c)(ii), (iii), (iv), or (v), the Company shall have no further obligations hereunder other than the payment of all compensation and other benefits payable to the Executive through the date of such termination which shall be paid on or before the Company’s next regularly scheduled payday unless such amount is not then-calculable, in which case payment shall be made on the first regularly scheduled payday after the amount is calculable.</w:t>
      </w:r>
    </w:p>
    <w:p>
      <w:pPr>
        <w:spacing w:after="0" w:line="150" w:lineRule="exact"/>
        <w:rPr>
          <w:rFonts w:ascii="Arial" w:cs="Arial" w:eastAsia="Arial" w:hAnsi="Arial"/>
          <w:sz w:val="19"/>
          <w:szCs w:val="19"/>
          <w:color w:val="auto"/>
        </w:rPr>
      </w:pPr>
    </w:p>
    <w:p>
      <w:pPr>
        <w:jc w:val="both"/>
        <w:ind w:firstLine="2642"/>
        <w:spacing w:after="0" w:line="247" w:lineRule="auto"/>
        <w:tabs>
          <w:tab w:leader="none" w:pos="3535" w:val="left"/>
        </w:tabs>
        <w:numPr>
          <w:ilvl w:val="2"/>
          <w:numId w:val="54"/>
        </w:numPr>
        <w:rPr>
          <w:rFonts w:ascii="Arial" w:cs="Arial" w:eastAsia="Arial" w:hAnsi="Arial"/>
          <w:sz w:val="21"/>
          <w:szCs w:val="21"/>
          <w:color w:val="auto"/>
        </w:rPr>
      </w:pPr>
      <w:r>
        <w:rPr>
          <w:rFonts w:ascii="Arial" w:cs="Arial" w:eastAsia="Arial" w:hAnsi="Arial"/>
          <w:sz w:val="21"/>
          <w:szCs w:val="21"/>
          <w:color w:val="auto"/>
        </w:rPr>
        <w:t>Upon termination of this Agreement: Except as provided for in Section 5(d)(iii) in the case of a Termination of this Agreement in Connection with a “</w:t>
      </w:r>
      <w:r>
        <w:rPr>
          <w:rFonts w:ascii="Arial" w:cs="Arial" w:eastAsia="Arial" w:hAnsi="Arial"/>
          <w:sz w:val="21"/>
          <w:szCs w:val="21"/>
          <w:b w:val="1"/>
          <w:bCs w:val="1"/>
          <w:color w:val="auto"/>
        </w:rPr>
        <w:t>Change in Control</w:t>
      </w:r>
      <w:r>
        <w:rPr>
          <w:rFonts w:ascii="Arial" w:cs="Arial" w:eastAsia="Arial" w:hAnsi="Arial"/>
          <w:sz w:val="21"/>
          <w:szCs w:val="21"/>
          <w:color w:val="auto"/>
        </w:rPr>
        <w:t>” or “</w:t>
      </w:r>
      <w:r>
        <w:rPr>
          <w:rFonts w:ascii="Arial" w:cs="Arial" w:eastAsia="Arial" w:hAnsi="Arial"/>
          <w:sz w:val="21"/>
          <w:szCs w:val="21"/>
          <w:b w:val="1"/>
          <w:bCs w:val="1"/>
          <w:color w:val="auto"/>
        </w:rPr>
        <w:t>Corporate Transaction</w:t>
      </w:r>
      <w:r>
        <w:rPr>
          <w:rFonts w:ascii="Arial" w:cs="Arial" w:eastAsia="Arial" w:hAnsi="Arial"/>
          <w:sz w:val="21"/>
          <w:szCs w:val="21"/>
          <w:color w:val="auto"/>
        </w:rPr>
        <w:t>” (as each such term is defined in the Clearside Biomedical, Inc. 2016 Stock Incentive Plan, as amended from time to time): (A) by the Executive pursuant to paragraph 5(b)(i), or (B) by the Company pursuant to paragraph 5(c)(i) or upon notice of non-renewal of the Term given by the Company and, in any such case, provided that the Executive first executes and does not revoke a release and settlement agreement in the form acceptable to the Company within the time period then-specified by the Company but in any event no later than sixty (60) days after the date of termination (the “</w:t>
      </w:r>
      <w:r>
        <w:rPr>
          <w:rFonts w:ascii="Arial" w:cs="Arial" w:eastAsia="Arial" w:hAnsi="Arial"/>
          <w:sz w:val="21"/>
          <w:szCs w:val="21"/>
          <w:b w:val="1"/>
          <w:bCs w:val="1"/>
          <w:color w:val="auto"/>
        </w:rPr>
        <w:t>Release</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jc w:val="both"/>
        <w:ind w:firstLine="885"/>
        <w:spacing w:after="0" w:line="238" w:lineRule="auto"/>
        <w:tabs>
          <w:tab w:leader="none" w:pos="1821"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Company shall pay the Executive an amount equal to 12 months of Executive’s then-current Base Salary (less all applicable deductions) payable in installments in accordance with the then-current generally applicable payroll schedule of the Company commencing on the first regularly scheduled pay date of the Company processed after Executive has executed, delivered to the Company and not revoked the Release;</w:t>
      </w:r>
    </w:p>
    <w:p>
      <w:pPr>
        <w:spacing w:after="0" w:line="185" w:lineRule="exact"/>
        <w:rPr>
          <w:rFonts w:ascii="Arial" w:cs="Arial" w:eastAsia="Arial" w:hAnsi="Arial"/>
          <w:sz w:val="22"/>
          <w:szCs w:val="22"/>
          <w:color w:val="auto"/>
        </w:rPr>
      </w:pPr>
    </w:p>
    <w:p>
      <w:pPr>
        <w:jc w:val="both"/>
        <w:ind w:firstLine="885"/>
        <w:spacing w:after="0" w:line="274" w:lineRule="auto"/>
        <w:tabs>
          <w:tab w:leader="none" w:pos="1769" w:val="left"/>
        </w:tabs>
        <w:numPr>
          <w:ilvl w:val="0"/>
          <w:numId w:val="55"/>
        </w:numPr>
        <w:rPr>
          <w:rFonts w:ascii="Arial" w:cs="Arial" w:eastAsia="Arial" w:hAnsi="Arial"/>
          <w:sz w:val="19"/>
          <w:szCs w:val="19"/>
          <w:color w:val="auto"/>
        </w:rPr>
      </w:pPr>
      <w:r>
        <w:rPr>
          <w:rFonts w:ascii="Arial" w:cs="Arial" w:eastAsia="Arial" w:hAnsi="Arial"/>
          <w:sz w:val="19"/>
          <w:szCs w:val="19"/>
          <w:color w:val="auto"/>
        </w:rPr>
        <w:t>provided that the Executive has been employed for at least six (6) months during the calendar year of the termination of this Agreement, the Company shall pay the Executive an amount equal to the prorated portion (based on the number of days of the Executive’s employment during the year of termination) of the portion of the Target Bonus the Executive would have earned under Section 4(b) for the applicable calendar year (less all applicable deductions), payable in a lump sum on the first payroll cycle following January 1 of the year following the year in which this Agreement is terminated. For illustration, if the Executive’s employment is terminated as of September 30 of a year and the Compensation Committee determines that the Executive would be eligible for 70% of the Target Bonus based on the Committee’s assessment of individual and corporate performance during the year of termination, then the amount payable under this paragraph would be the amount determined by multiplying 75% (i.e., a pro ration reflecting ¾ of the year) by 70% of the Target Bonus for such year;</w:t>
      </w:r>
    </w:p>
    <w:p>
      <w:pPr>
        <w:spacing w:after="0" w:line="158" w:lineRule="exact"/>
        <w:rPr>
          <w:rFonts w:ascii="Arial" w:cs="Arial" w:eastAsia="Arial" w:hAnsi="Arial"/>
          <w:sz w:val="19"/>
          <w:szCs w:val="19"/>
          <w:color w:val="auto"/>
        </w:rPr>
      </w:pPr>
    </w:p>
    <w:p>
      <w:pPr>
        <w:ind w:left="1780" w:hanging="895"/>
        <w:spacing w:after="0"/>
        <w:tabs>
          <w:tab w:leader="none" w:pos="17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provided that the Executive properly elects and maintains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5" w:name="page56"/>
    <w:bookmarkEnd w:id="55"/>
    <w:p>
      <w:pPr>
        <w:jc w:val="both"/>
        <w:spacing w:after="0" w:line="236" w:lineRule="auto"/>
        <w:rPr>
          <w:sz w:val="20"/>
          <w:szCs w:val="20"/>
          <w:color w:val="auto"/>
        </w:rPr>
      </w:pPr>
      <w:r>
        <w:rPr>
          <w:rFonts w:ascii="Arial" w:cs="Arial" w:eastAsia="Arial" w:hAnsi="Arial"/>
          <w:sz w:val="22"/>
          <w:szCs w:val="22"/>
          <w:color w:val="auto"/>
        </w:rPr>
        <w:t>continued health insurance coverage under the Company sponsored plan and provided further that such benefits continue to be offered under the Company sponsored plan, the Company shall reimburse the Executive in an amount equal to the cost of the premium for such continued health insurance coverage at the same average level and on the same terms and conditions which applied immediately prior to the date of the Executive’s termination for the shorter of (a) 12 months from the date of termination or (b) until the Executive obtains reasonably comparable coverage; and</w:t>
      </w:r>
    </w:p>
    <w:p>
      <w:pPr>
        <w:spacing w:after="0" w:line="188" w:lineRule="exact"/>
        <w:rPr>
          <w:sz w:val="20"/>
          <w:szCs w:val="20"/>
          <w:color w:val="auto"/>
        </w:rPr>
      </w:pPr>
    </w:p>
    <w:p>
      <w:pPr>
        <w:jc w:val="both"/>
        <w:ind w:firstLine="885"/>
        <w:spacing w:after="0" w:line="238" w:lineRule="auto"/>
        <w:tabs>
          <w:tab w:leader="none" w:pos="1769" w:val="left"/>
        </w:tabs>
        <w:numPr>
          <w:ilvl w:val="0"/>
          <w:numId w:val="56"/>
        </w:numPr>
        <w:rPr>
          <w:rFonts w:ascii="Arial" w:cs="Arial" w:eastAsia="Arial" w:hAnsi="Arial"/>
          <w:sz w:val="22"/>
          <w:szCs w:val="22"/>
          <w:color w:val="auto"/>
        </w:rPr>
      </w:pPr>
      <w:r>
        <w:rPr>
          <w:rFonts w:ascii="Arial" w:cs="Arial" w:eastAsia="Arial" w:hAnsi="Arial"/>
          <w:sz w:val="22"/>
          <w:szCs w:val="22"/>
          <w:color w:val="auto"/>
        </w:rPr>
        <w:t>each Equity Award held by Executive shall immediately vest and be exercisable to the extent such Equity Award would have vested had Executive remained employed by the Company for a period of 12 months from the date of termination of this Agreement. The Company and the Executive hereby agree that the Equity Awards shall be deemed amended to the extent necessary to give effect to this provision.</w:t>
      </w:r>
    </w:p>
    <w:p>
      <w:pPr>
        <w:spacing w:after="0" w:line="185" w:lineRule="exact"/>
        <w:rPr>
          <w:rFonts w:ascii="Arial" w:cs="Arial" w:eastAsia="Arial" w:hAnsi="Arial"/>
          <w:sz w:val="22"/>
          <w:szCs w:val="22"/>
          <w:color w:val="auto"/>
        </w:rPr>
      </w:pPr>
    </w:p>
    <w:p>
      <w:pPr>
        <w:jc w:val="both"/>
        <w:ind w:firstLine="2642"/>
        <w:spacing w:after="0" w:line="238" w:lineRule="auto"/>
        <w:tabs>
          <w:tab w:leader="none" w:pos="3592" w:val="left"/>
        </w:tabs>
        <w:numPr>
          <w:ilvl w:val="1"/>
          <w:numId w:val="56"/>
        </w:numPr>
        <w:rPr>
          <w:rFonts w:ascii="Arial" w:cs="Arial" w:eastAsia="Arial" w:hAnsi="Arial"/>
          <w:sz w:val="22"/>
          <w:szCs w:val="22"/>
          <w:color w:val="auto"/>
        </w:rPr>
      </w:pPr>
      <w:r>
        <w:rPr>
          <w:rFonts w:ascii="Arial" w:cs="Arial" w:eastAsia="Arial" w:hAnsi="Arial"/>
          <w:sz w:val="22"/>
          <w:szCs w:val="22"/>
          <w:color w:val="auto"/>
        </w:rPr>
        <w:t>Upon termination of this Agreement within twelve months following a Change in Control or Corporate Transaction: (A) by the Executive pursuant to paragraph 5(b)(i), or (B) by the Company pursuant to paragraph 5(c)(i) or upon notice of non-renewal of the Term given by the Company in any such case, Executive shall be entitled to the following severance benefits, subject to execution of the Release:</w:t>
      </w:r>
    </w:p>
    <w:p>
      <w:pPr>
        <w:spacing w:after="0" w:line="185" w:lineRule="exact"/>
        <w:rPr>
          <w:sz w:val="20"/>
          <w:szCs w:val="20"/>
          <w:color w:val="auto"/>
        </w:rPr>
      </w:pPr>
    </w:p>
    <w:p>
      <w:pPr>
        <w:jc w:val="both"/>
        <w:ind w:firstLine="2642"/>
        <w:spacing w:after="0" w:line="238" w:lineRule="auto"/>
        <w:tabs>
          <w:tab w:leader="none" w:pos="3645"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Company shall pay the Executive an amount equal to eighteen (18) months of Executive’s then-current Base Salary (less all applicable deductions) payable in a lump sum payment on the first regularly scheduled pay date of the Company processed after the Executive has executed and delivered to the Company the Release and any revocation period has expired;</w:t>
      </w:r>
    </w:p>
    <w:p>
      <w:pPr>
        <w:spacing w:after="0" w:line="185" w:lineRule="exact"/>
        <w:rPr>
          <w:rFonts w:ascii="Arial" w:cs="Arial" w:eastAsia="Arial" w:hAnsi="Arial"/>
          <w:sz w:val="22"/>
          <w:szCs w:val="22"/>
          <w:color w:val="auto"/>
        </w:rPr>
      </w:pPr>
    </w:p>
    <w:p>
      <w:pPr>
        <w:jc w:val="both"/>
        <w:ind w:firstLine="2642"/>
        <w:spacing w:after="0" w:line="238" w:lineRule="auto"/>
        <w:tabs>
          <w:tab w:leader="none" w:pos="3526"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Company shall pay the Executive an amount equal to one and one half (1.5) times the Executive’s Target Bonus amount (less all applicable deductions) payable in a lump sum payment on the first regularly scheduled pay date of the Company processed after Executive has executed and delivered to the Company the Release and any revocation period has expired;</w:t>
      </w:r>
    </w:p>
    <w:p>
      <w:pPr>
        <w:spacing w:after="0" w:line="185" w:lineRule="exact"/>
        <w:rPr>
          <w:rFonts w:ascii="Arial" w:cs="Arial" w:eastAsia="Arial" w:hAnsi="Arial"/>
          <w:sz w:val="22"/>
          <w:szCs w:val="22"/>
          <w:color w:val="auto"/>
        </w:rPr>
      </w:pPr>
    </w:p>
    <w:p>
      <w:pPr>
        <w:jc w:val="both"/>
        <w:ind w:firstLine="2642"/>
        <w:spacing w:after="0" w:line="271" w:lineRule="auto"/>
        <w:tabs>
          <w:tab w:leader="none" w:pos="3526" w:val="left"/>
        </w:tabs>
        <w:numPr>
          <w:ilvl w:val="0"/>
          <w:numId w:val="57"/>
        </w:numPr>
        <w:rPr>
          <w:rFonts w:ascii="Arial" w:cs="Arial" w:eastAsia="Arial" w:hAnsi="Arial"/>
          <w:sz w:val="19"/>
          <w:szCs w:val="19"/>
          <w:color w:val="auto"/>
        </w:rPr>
      </w:pPr>
      <w:r>
        <w:rPr>
          <w:rFonts w:ascii="Arial" w:cs="Arial" w:eastAsia="Arial" w:hAnsi="Arial"/>
          <w:sz w:val="19"/>
          <w:szCs w:val="19"/>
          <w:color w:val="auto"/>
        </w:rPr>
        <w:t>provided that the Executive properly elects and maintains continued health insurance coverage under the Company sponsored plan, the Company shall reimburse the Executive in an amount equal to one hundred percent (100%) of the cost of the premium for such continued health insurance coverage at the same average level and on the same terms and conditions which applied immediately prior to the date of the Executive’s termination for the shorter of (a) eighteen (18) months from</w:t>
      </w:r>
    </w:p>
    <w:p>
      <w:pPr>
        <w:spacing w:after="0" w:line="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date of termination or (b) until the Executive obtains reasonably comparable coverage through an employer; and (4) each Equity Award held by Executive at the time of termination shall immediately vest and be exercisable until the final exercise date set forth in the Equity Award. The Company and the Executive hereby agree that the Equity Awards shall be deemed amended to the extent necessary to give effect to this provision.</w:t>
      </w:r>
    </w:p>
    <w:p>
      <w:pPr>
        <w:spacing w:after="0" w:line="188" w:lineRule="exact"/>
        <w:rPr>
          <w:sz w:val="20"/>
          <w:szCs w:val="20"/>
          <w:color w:val="auto"/>
        </w:rPr>
      </w:pPr>
    </w:p>
    <w:p>
      <w:pPr>
        <w:jc w:val="both"/>
        <w:ind w:firstLine="1763"/>
        <w:spacing w:after="0" w:line="238" w:lineRule="auto"/>
        <w:tabs>
          <w:tab w:leader="none" w:pos="2635"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Resignation as Officer and Director</w:t>
      </w:r>
      <w:r>
        <w:rPr>
          <w:rFonts w:ascii="Arial" w:cs="Arial" w:eastAsia="Arial" w:hAnsi="Arial"/>
          <w:sz w:val="22"/>
          <w:szCs w:val="22"/>
          <w:color w:val="auto"/>
        </w:rPr>
        <w:t>. Upon termination of this Agreement and the Executive’s employment hereunder for any reason by either party, the Executive shall be deemed to have resigned from all offices and positions the Executive may hold with the Company at such time including without limitation Board membership and/or positions as an officer of the Company.</w:t>
      </w:r>
    </w:p>
    <w:p>
      <w:pPr>
        <w:spacing w:after="0" w:line="185" w:lineRule="exact"/>
        <w:rPr>
          <w:rFonts w:ascii="Arial" w:cs="Arial" w:eastAsia="Arial" w:hAnsi="Arial"/>
          <w:sz w:val="22"/>
          <w:szCs w:val="22"/>
          <w:color w:val="auto"/>
        </w:rPr>
      </w:pPr>
    </w:p>
    <w:p>
      <w:pPr>
        <w:ind w:left="2620" w:hanging="857"/>
        <w:spacing w:after="0"/>
        <w:tabs>
          <w:tab w:leader="none" w:pos="262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Payment in Lieu of Notice Period</w:t>
      </w:r>
      <w:r>
        <w:rPr>
          <w:rFonts w:ascii="Arial" w:cs="Arial" w:eastAsia="Arial" w:hAnsi="Arial"/>
          <w:sz w:val="22"/>
          <w:szCs w:val="22"/>
          <w:color w:val="auto"/>
        </w:rPr>
        <w:t>. Upon the termination of this Agreement: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56" w:name="page57"/>
    <w:bookmarkEnd w:id="56"/>
    <w:p>
      <w:pPr>
        <w:ind w:left="360" w:hanging="352"/>
        <w:spacing w:after="0"/>
        <w:tabs>
          <w:tab w:leader="none" w:pos="360" w:val="left"/>
        </w:tabs>
        <w:numPr>
          <w:ilvl w:val="0"/>
          <w:numId w:val="59"/>
        </w:numPr>
        <w:rPr>
          <w:rFonts w:ascii="Arial" w:cs="Arial" w:eastAsia="Arial" w:hAnsi="Arial"/>
          <w:sz w:val="19"/>
          <w:szCs w:val="19"/>
          <w:color w:val="auto"/>
        </w:rPr>
      </w:pPr>
      <w:r>
        <w:rPr>
          <w:rFonts w:ascii="Arial" w:cs="Arial" w:eastAsia="Arial" w:hAnsi="Arial"/>
          <w:sz w:val="19"/>
          <w:szCs w:val="19"/>
          <w:color w:val="auto"/>
        </w:rPr>
        <w:t>pursuant to the expiration of the Term based on a non-renewal notice given by either party in accordance with paragraph 3(b); or</w:t>
      </w:r>
    </w:p>
    <w:p>
      <w:pPr>
        <w:spacing w:after="0" w:line="42" w:lineRule="exact"/>
        <w:rPr>
          <w:rFonts w:ascii="Arial" w:cs="Arial" w:eastAsia="Arial" w:hAnsi="Arial"/>
          <w:sz w:val="19"/>
          <w:szCs w:val="19"/>
          <w:color w:val="auto"/>
        </w:rPr>
      </w:pPr>
    </w:p>
    <w:p>
      <w:pPr>
        <w:jc w:val="both"/>
        <w:ind w:firstLine="8"/>
        <w:spacing w:after="0" w:line="275" w:lineRule="auto"/>
        <w:tabs>
          <w:tab w:leader="none" w:pos="333" w:val="left"/>
        </w:tabs>
        <w:numPr>
          <w:ilvl w:val="0"/>
          <w:numId w:val="59"/>
        </w:numPr>
        <w:rPr>
          <w:rFonts w:ascii="Arial" w:cs="Arial" w:eastAsia="Arial" w:hAnsi="Arial"/>
          <w:sz w:val="19"/>
          <w:szCs w:val="19"/>
          <w:color w:val="auto"/>
        </w:rPr>
      </w:pPr>
      <w:r>
        <w:rPr>
          <w:rFonts w:ascii="Arial" w:cs="Arial" w:eastAsia="Arial" w:hAnsi="Arial"/>
          <w:sz w:val="19"/>
          <w:szCs w:val="19"/>
          <w:color w:val="auto"/>
        </w:rPr>
        <w:t>by the Executive pursuant to paragraph 5(b)(i) or 5(b)(ii), the Company may, at its sole election, pay the Executive an amount equal to Executive’s then-current Base Salary for all or any portion of the applicable notice period required by paragraph 3(b) or paragraph 5(b)(i) or 5(b)(ii) in lieu of all or any portion of such notice period; provided, however, any such election by the Company shall not be deemed to be a termination by the Company that invokes the obligations set forth in Section 5(d)(ii) of this Agreement. Notwithstanding the above, if the Executive requests that Executive’s final day of employment occur prior to the expiration of any applicable notice period and the Company consents, pay in lieu of notice shall not be required.</w:t>
      </w:r>
    </w:p>
    <w:p>
      <w:pPr>
        <w:spacing w:after="0" w:line="154" w:lineRule="exact"/>
        <w:rPr>
          <w:rFonts w:ascii="Arial" w:cs="Arial" w:eastAsia="Arial" w:hAnsi="Arial"/>
          <w:sz w:val="19"/>
          <w:szCs w:val="19"/>
          <w:color w:val="auto"/>
        </w:rPr>
      </w:pPr>
    </w:p>
    <w:p>
      <w:pPr>
        <w:ind w:left="1800" w:hanging="915"/>
        <w:spacing w:after="0"/>
        <w:tabs>
          <w:tab w:leader="none" w:pos="1800"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Parachute Payment upon Corporate Transaction.</w:t>
      </w:r>
    </w:p>
    <w:p>
      <w:pPr>
        <w:spacing w:after="0" w:line="206" w:lineRule="exact"/>
        <w:rPr>
          <w:sz w:val="20"/>
          <w:szCs w:val="20"/>
          <w:color w:val="auto"/>
        </w:rPr>
      </w:pPr>
    </w:p>
    <w:p>
      <w:pPr>
        <w:jc w:val="both"/>
        <w:ind w:firstLine="1526"/>
        <w:spacing w:after="0" w:line="269" w:lineRule="auto"/>
        <w:rPr>
          <w:sz w:val="20"/>
          <w:szCs w:val="20"/>
          <w:color w:val="auto"/>
        </w:rPr>
      </w:pPr>
      <w:r>
        <w:rPr>
          <w:rFonts w:ascii="Arial" w:cs="Arial" w:eastAsia="Arial" w:hAnsi="Arial"/>
          <w:sz w:val="19"/>
          <w:szCs w:val="19"/>
          <w:color w:val="auto"/>
        </w:rPr>
        <w:t>(a)In the event of a Corporate Transaction which results in a change (i) in the ownership of effective control of the Company, or (ii) in the ownership of a substantial portion of the assets of the corporation (within the meaning of Section 280G of the Code and the regulations thereunder (“</w:t>
      </w:r>
      <w:r>
        <w:rPr>
          <w:rFonts w:ascii="Arial" w:cs="Arial" w:eastAsia="Arial" w:hAnsi="Arial"/>
          <w:sz w:val="19"/>
          <w:szCs w:val="19"/>
          <w:b w:val="1"/>
          <w:bCs w:val="1"/>
          <w:color w:val="auto"/>
        </w:rPr>
        <w:t>Section 280G</w:t>
      </w:r>
      <w:r>
        <w:rPr>
          <w:rFonts w:ascii="Arial" w:cs="Arial" w:eastAsia="Arial" w:hAnsi="Arial"/>
          <w:sz w:val="19"/>
          <w:szCs w:val="19"/>
          <w:color w:val="auto"/>
        </w:rPr>
        <w:t>”)) (a “</w:t>
      </w:r>
      <w:r>
        <w:rPr>
          <w:rFonts w:ascii="Arial" w:cs="Arial" w:eastAsia="Arial" w:hAnsi="Arial"/>
          <w:sz w:val="19"/>
          <w:szCs w:val="19"/>
          <w:b w:val="1"/>
          <w:bCs w:val="1"/>
          <w:color w:val="auto"/>
        </w:rPr>
        <w:t>280G Change in Control</w:t>
      </w:r>
      <w:r>
        <w:rPr>
          <w:rFonts w:ascii="Arial" w:cs="Arial" w:eastAsia="Arial" w:hAnsi="Arial"/>
          <w:sz w:val="19"/>
          <w:szCs w:val="19"/>
          <w:color w:val="auto"/>
        </w:rPr>
        <w:t>”) payments and benefits under this Agreement, together with other payments and benefits provided to Executive by the Company (including, without limitation, any accelerated vesting of stock options) (the “</w:t>
      </w:r>
      <w:r>
        <w:rPr>
          <w:rFonts w:ascii="Arial" w:cs="Arial" w:eastAsia="Arial" w:hAnsi="Arial"/>
          <w:sz w:val="19"/>
          <w:szCs w:val="19"/>
          <w:b w:val="1"/>
          <w:bCs w:val="1"/>
          <w:color w:val="auto"/>
        </w:rPr>
        <w:t>Total Payments</w:t>
      </w:r>
      <w:r>
        <w:rPr>
          <w:rFonts w:ascii="Arial" w:cs="Arial" w:eastAsia="Arial" w:hAnsi="Arial"/>
          <w:sz w:val="19"/>
          <w:szCs w:val="19"/>
          <w:color w:val="auto"/>
        </w:rPr>
        <w:t>”) shall be made in accordance with this Section 6(a). If all or a portion of the Total Payments would constitute an “excess parachute payment” within the meaning of Section 280G (the aggregate of such payments or portions thereof) being hereinafter referred to as the “</w:t>
      </w:r>
      <w:r>
        <w:rPr>
          <w:rFonts w:ascii="Arial" w:cs="Arial" w:eastAsia="Arial" w:hAnsi="Arial"/>
          <w:sz w:val="19"/>
          <w:szCs w:val="19"/>
          <w:b w:val="1"/>
          <w:bCs w:val="1"/>
          <w:color w:val="auto"/>
        </w:rPr>
        <w:t>Excess Parachute Payments</w:t>
      </w:r>
      <w:r>
        <w:rPr>
          <w:rFonts w:ascii="Arial" w:cs="Arial" w:eastAsia="Arial" w:hAnsi="Arial"/>
          <w:sz w:val="19"/>
          <w:szCs w:val="19"/>
          <w:color w:val="auto"/>
        </w:rPr>
        <w:t>”), then the Executive will be entitled to receive: (i) an amount limited so that no portion thereof shall fail to be tax deductible under Section 280G of the Code (the “</w:t>
      </w:r>
      <w:r>
        <w:rPr>
          <w:rFonts w:ascii="Arial" w:cs="Arial" w:eastAsia="Arial" w:hAnsi="Arial"/>
          <w:sz w:val="19"/>
          <w:szCs w:val="19"/>
          <w:b w:val="1"/>
          <w:bCs w:val="1"/>
          <w:color w:val="auto"/>
        </w:rPr>
        <w:t>Limited Amount</w:t>
      </w:r>
      <w:r>
        <w:rPr>
          <w:rFonts w:ascii="Arial" w:cs="Arial" w:eastAsia="Arial" w:hAnsi="Arial"/>
          <w:sz w:val="19"/>
          <w:szCs w:val="19"/>
          <w:color w:val="auto"/>
        </w:rPr>
        <w:t>”), or</w:t>
      </w:r>
    </w:p>
    <w:p>
      <w:pPr>
        <w:spacing w:after="0" w:line="4" w:lineRule="exact"/>
        <w:rPr>
          <w:sz w:val="20"/>
          <w:szCs w:val="20"/>
          <w:color w:val="auto"/>
        </w:rPr>
      </w:pPr>
    </w:p>
    <w:p>
      <w:pPr>
        <w:jc w:val="both"/>
        <w:ind w:firstLine="8"/>
        <w:spacing w:after="0" w:line="233" w:lineRule="auto"/>
        <w:tabs>
          <w:tab w:leader="none" w:pos="328" w:val="left"/>
        </w:tabs>
        <w:numPr>
          <w:ilvl w:val="0"/>
          <w:numId w:val="60"/>
        </w:numPr>
        <w:rPr>
          <w:rFonts w:ascii="Arial" w:cs="Arial" w:eastAsia="Arial" w:hAnsi="Arial"/>
          <w:sz w:val="22"/>
          <w:szCs w:val="22"/>
          <w:color w:val="auto"/>
        </w:rPr>
      </w:pPr>
      <w:r>
        <w:rPr>
          <w:rFonts w:ascii="Arial" w:cs="Arial" w:eastAsia="Arial" w:hAnsi="Arial"/>
          <w:sz w:val="22"/>
          <w:szCs w:val="22"/>
          <w:color w:val="auto"/>
        </w:rPr>
        <w:t>if the amount otherwise payable hereunder or otherwise (without regarding to clause (i)) reduced by all taxes applicable thereto (including, for the avoidance of doubt, the federal excise tax levied on certain Excess Parachute Payments under Section 4999 of the Code (the “</w:t>
      </w:r>
      <w:r>
        <w:rPr>
          <w:rFonts w:ascii="Arial" w:cs="Arial" w:eastAsia="Arial" w:hAnsi="Arial"/>
          <w:sz w:val="22"/>
          <w:szCs w:val="22"/>
          <w:b w:val="1"/>
          <w:bCs w:val="1"/>
          <w:color w:val="auto"/>
        </w:rPr>
        <w:t>Excise Tax</w:t>
      </w:r>
      <w:r>
        <w:rPr>
          <w:rFonts w:ascii="Arial" w:cs="Arial" w:eastAsia="Arial" w:hAnsi="Arial"/>
          <w:sz w:val="22"/>
          <w:szCs w:val="22"/>
          <w:color w:val="auto"/>
        </w:rPr>
        <w:t>”)) would be greater than the Limited Amount reduced by all taxes applicable thereto, the amount otherwise payable hereunder.</w:t>
      </w:r>
    </w:p>
    <w:p>
      <w:pPr>
        <w:spacing w:after="0" w:line="188" w:lineRule="exact"/>
        <w:rPr>
          <w:sz w:val="20"/>
          <w:szCs w:val="20"/>
          <w:color w:val="auto"/>
        </w:rPr>
      </w:pPr>
    </w:p>
    <w:p>
      <w:pPr>
        <w:jc w:val="both"/>
        <w:ind w:firstLine="1526"/>
        <w:spacing w:after="0" w:line="273" w:lineRule="auto"/>
        <w:rPr>
          <w:sz w:val="20"/>
          <w:szCs w:val="20"/>
          <w:color w:val="auto"/>
        </w:rPr>
      </w:pPr>
      <w:r>
        <w:rPr>
          <w:rFonts w:ascii="Arial" w:cs="Arial" w:eastAsia="Arial" w:hAnsi="Arial"/>
          <w:sz w:val="19"/>
          <w:szCs w:val="19"/>
          <w:color w:val="auto"/>
        </w:rPr>
        <w:t>(b)The determination as to whether the Total Payments include Excess Parachute Payments and, if so, the amount of such Excess Parachute Payments, the amount of any Excise Tax with respect thereto, and the amount of any reduction in Total Payments shall be made at the Company’s expense by the independent public accounting firm most recently serving as the Company’s outside auditors or such other accounting or benefits consulting group or firm as the Company may designate (the “</w:t>
      </w:r>
      <w:r>
        <w:rPr>
          <w:rFonts w:ascii="Arial" w:cs="Arial" w:eastAsia="Arial" w:hAnsi="Arial"/>
          <w:sz w:val="19"/>
          <w:szCs w:val="19"/>
          <w:b w:val="1"/>
          <w:bCs w:val="1"/>
          <w:color w:val="auto"/>
        </w:rPr>
        <w:t>Accountants</w:t>
      </w:r>
      <w:r>
        <w:rPr>
          <w:rFonts w:ascii="Arial" w:cs="Arial" w:eastAsia="Arial" w:hAnsi="Arial"/>
          <w:sz w:val="19"/>
          <w:szCs w:val="19"/>
          <w:color w:val="auto"/>
        </w:rPr>
        <w:t xml:space="preserve">”). In the event that any payments under this Agreement or otherwise are required to be reduced as described in Section 6(a), the adjustment will be made, first, by reducing the amount of base salary and bonus payable pursuant to </w:t>
      </w:r>
      <w:r>
        <w:rPr>
          <w:rFonts w:ascii="Arial" w:cs="Arial" w:eastAsia="Arial" w:hAnsi="Arial"/>
          <w:sz w:val="19"/>
          <w:szCs w:val="19"/>
          <w:b w:val="1"/>
          <w:bCs w:val="1"/>
          <w:color w:val="auto"/>
        </w:rPr>
        <w:t>Section 5(d)(iii)(1) and (2),</w:t>
      </w:r>
      <w:r>
        <w:rPr>
          <w:rFonts w:ascii="Arial" w:cs="Arial" w:eastAsia="Arial" w:hAnsi="Arial"/>
          <w:sz w:val="19"/>
          <w:szCs w:val="19"/>
          <w:color w:val="auto"/>
        </w:rPr>
        <w:t xml:space="preserve"> as applicable; second, if additional reductions are necessary, by reducing the payment of health insurance premium due to Executive pursuant to </w:t>
      </w:r>
      <w:r>
        <w:rPr>
          <w:rFonts w:ascii="Arial" w:cs="Arial" w:eastAsia="Arial" w:hAnsi="Arial"/>
          <w:sz w:val="19"/>
          <w:szCs w:val="19"/>
          <w:b w:val="1"/>
          <w:bCs w:val="1"/>
          <w:color w:val="auto"/>
        </w:rPr>
        <w:t>Section 5(d)(iii)(3)</w:t>
      </w:r>
      <w:r>
        <w:rPr>
          <w:rFonts w:ascii="Arial" w:cs="Arial" w:eastAsia="Arial" w:hAnsi="Arial"/>
          <w:sz w:val="19"/>
          <w:szCs w:val="19"/>
          <w:color w:val="auto"/>
        </w:rPr>
        <w:t xml:space="preserve">, as applicable; and third, if additional reductions are still necessary, by eliminating the accelerated vesting of time-based equity-based awards under </w:t>
      </w:r>
      <w:r>
        <w:rPr>
          <w:rFonts w:ascii="Arial" w:cs="Arial" w:eastAsia="Arial" w:hAnsi="Arial"/>
          <w:sz w:val="19"/>
          <w:szCs w:val="19"/>
          <w:b w:val="1"/>
          <w:bCs w:val="1"/>
          <w:color w:val="auto"/>
        </w:rPr>
        <w:t>Section 5(d)(iii)(4)</w:t>
      </w:r>
      <w:r>
        <w:rPr>
          <w:rFonts w:ascii="Arial" w:cs="Arial" w:eastAsia="Arial" w:hAnsi="Arial"/>
          <w:sz w:val="19"/>
          <w:szCs w:val="19"/>
          <w:color w:val="auto"/>
        </w:rPr>
        <w:t>, if any, starting with those awards for which the amount required to be taken into account under Section 280G is the greatest.</w:t>
      </w:r>
    </w:p>
    <w:p>
      <w:pPr>
        <w:spacing w:after="0" w:line="162" w:lineRule="exact"/>
        <w:rPr>
          <w:sz w:val="20"/>
          <w:szCs w:val="20"/>
          <w:color w:val="auto"/>
        </w:rPr>
      </w:pPr>
    </w:p>
    <w:p>
      <w:pPr>
        <w:jc w:val="both"/>
        <w:ind w:firstLine="1526"/>
        <w:spacing w:after="0" w:line="297" w:lineRule="auto"/>
        <w:rPr>
          <w:sz w:val="20"/>
          <w:szCs w:val="20"/>
          <w:color w:val="auto"/>
        </w:rPr>
      </w:pPr>
      <w:r>
        <w:rPr>
          <w:rFonts w:ascii="Arial" w:cs="Arial" w:eastAsia="Arial" w:hAnsi="Arial"/>
          <w:sz w:val="19"/>
          <w:szCs w:val="19"/>
          <w:color w:val="auto"/>
        </w:rPr>
        <w:t>(c)In the event that there has been an underpayment or overpayment under this Agreement or otherwise as determined by the Accountants, the amount of such underpayment or overpayment shall forthwith be paid to Executive or refunded to the Company, as the case may be, with interest at the applicable federal rate provided for in Section 7872(f)(2) of the Code.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57" w:name="page58"/>
    <w:bookmarkEnd w:id="57"/>
    <w:p>
      <w:pPr>
        <w:jc w:val="both"/>
        <w:ind w:firstLine="885"/>
        <w:spacing w:after="0" w:line="247" w:lineRule="auto"/>
        <w:tabs>
          <w:tab w:leader="none" w:pos="1682"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Proprietary Information Agreement</w:t>
      </w:r>
      <w:r>
        <w:rPr>
          <w:rFonts w:ascii="Arial" w:cs="Arial" w:eastAsia="Arial" w:hAnsi="Arial"/>
          <w:sz w:val="21"/>
          <w:szCs w:val="21"/>
          <w:color w:val="auto"/>
        </w:rPr>
        <w:t>. The terms of the Proprietary Information and Inventions Agreement by and between the Company and the Executive, dated July 26, 2013, (the “</w:t>
      </w:r>
      <w:r>
        <w:rPr>
          <w:rFonts w:ascii="Arial" w:cs="Arial" w:eastAsia="Arial" w:hAnsi="Arial"/>
          <w:sz w:val="21"/>
          <w:szCs w:val="21"/>
          <w:b w:val="1"/>
          <w:bCs w:val="1"/>
          <w:color w:val="auto"/>
        </w:rPr>
        <w:t>Proprietary Information Agreement</w:t>
      </w:r>
      <w:r>
        <w:rPr>
          <w:rFonts w:ascii="Arial" w:cs="Arial" w:eastAsia="Arial" w:hAnsi="Arial"/>
          <w:sz w:val="21"/>
          <w:szCs w:val="21"/>
          <w:color w:val="auto"/>
        </w:rPr>
        <w:t>”) and any other similar agreement regarding confidentiality, intellectual property rights, non-competition or non-solicitation between the Company and the Executive, are hereby incorporated by reference and are a material part of this Agreement. The duration of Executive’s covenants set forth in Section 3 (nonsolicitation) and Section 4 (covenant not to compete) of the Proprietary Information Agreement are hereby amended to apply for eighteen months following the end of employment in the event the Company makes the lump sum payment provided for under Section 5(d)(iii)(1).</w:t>
      </w:r>
    </w:p>
    <w:p>
      <w:pPr>
        <w:spacing w:after="0" w:line="178" w:lineRule="exact"/>
        <w:rPr>
          <w:rFonts w:ascii="Arial" w:cs="Arial" w:eastAsia="Arial" w:hAnsi="Arial"/>
          <w:sz w:val="21"/>
          <w:szCs w:val="21"/>
          <w:color w:val="auto"/>
        </w:rPr>
      </w:pPr>
    </w:p>
    <w:p>
      <w:pPr>
        <w:ind w:left="1700" w:hanging="815"/>
        <w:spacing w:after="0"/>
        <w:tabs>
          <w:tab w:leader="none" w:pos="170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06"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(a) The Executive represents and warrants to the Company that the Executive’s performance of this Agreement and as an employee of the Company does not and will not breach any noncompetition agreement or any agreement to keep in confidence proprietary information acquired by the Executive in confidence or in trust prior to the Executive's employment by the Company. The Executive represents and warrants to the Company that the Executive has not entered into, and agrees not to enter into, any agreement that conflicts with or violates this Agreement.</w:t>
      </w:r>
    </w:p>
    <w:p>
      <w:pPr>
        <w:spacing w:after="0" w:line="179"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9"/>
          <w:szCs w:val="19"/>
          <w:color w:val="auto"/>
        </w:rPr>
        <w:t>(b)The Executive represents and warrants to the Company that the Executive has not brought and shall not bring with the Executive to the Company, or use in the performance of the Executive's responsibilities for the Company, any materials or documents of a former employer which are not generally available to the public or which did not belong to the Executive prior to the Executive’s employment with the Company, unless the Executive has obtained written authorization from the former employer or other owner for their possession and use and provided the Company with a copy thereof.</w:t>
      </w:r>
    </w:p>
    <w:p>
      <w:pPr>
        <w:spacing w:after="0" w:line="148" w:lineRule="exact"/>
        <w:rPr>
          <w:sz w:val="20"/>
          <w:szCs w:val="20"/>
          <w:color w:val="auto"/>
        </w:rPr>
      </w:pPr>
    </w:p>
    <w:p>
      <w:pPr>
        <w:jc w:val="both"/>
        <w:ind w:firstLine="885"/>
        <w:spacing w:after="0" w:line="248" w:lineRule="auto"/>
        <w:tabs>
          <w:tab w:leader="none" w:pos="1682"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Indemnification by the Executive</w:t>
      </w:r>
      <w:r>
        <w:rPr>
          <w:rFonts w:ascii="Arial" w:cs="Arial" w:eastAsia="Arial" w:hAnsi="Arial"/>
          <w:sz w:val="21"/>
          <w:szCs w:val="21"/>
          <w:color w:val="auto"/>
        </w:rPr>
        <w:t>. To the extent any of Executive’s actions or inactions result in damages to the Company which are not covered under the Company’s then existing indemnification provisions for officers, its Directors and Officers insurance policy (or similar insurance contract), or would be unlawful for the Company to indemnify, then the Executive shall indemnify and hold harmless the Company, its directors, officers, stockholders, agents, and employees against all claims, costs, expenses, liabilities, and lost profits, including amounts paid in settlement, incurred by any of them as a result of the material breach by the Executive of any provision of Section 2, 6 and/or 7 of this Agreement.</w:t>
      </w:r>
    </w:p>
    <w:p>
      <w:pPr>
        <w:spacing w:after="0" w:line="177" w:lineRule="exact"/>
        <w:rPr>
          <w:rFonts w:ascii="Arial" w:cs="Arial" w:eastAsia="Arial" w:hAnsi="Arial"/>
          <w:sz w:val="21"/>
          <w:szCs w:val="21"/>
          <w:color w:val="auto"/>
        </w:rPr>
      </w:pPr>
    </w:p>
    <w:p>
      <w:pPr>
        <w:jc w:val="both"/>
        <w:ind w:firstLine="885"/>
        <w:spacing w:after="0" w:line="279" w:lineRule="auto"/>
        <w:tabs>
          <w:tab w:leader="none" w:pos="1788"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consents, approvals, and other communications to, upon, and between the parties shall be in writing and shall be deemed to have been given, delivered, made, and received when: (a) personally delivered; (b) deposited for next day delivery by Federal Express, or other similar overnight courier services; (c) transmitted via telefacsimile or other similar device to the attention of the Board of Directors of the Company with receipt acknowledged; or (d) three (3) days after being sent or mailed by certified mail, postage prepaid and return receipt requested, addressed to the Company at 900 North Point Parkway, Suite 200, Alpharetta, GA 30005 and to the Executive at the Executive’s last listed address in the payroll records of the Company.</w:t>
      </w:r>
    </w:p>
    <w:p>
      <w:pPr>
        <w:spacing w:after="0" w:line="150" w:lineRule="exact"/>
        <w:rPr>
          <w:rFonts w:ascii="Arial" w:cs="Arial" w:eastAsia="Arial" w:hAnsi="Arial"/>
          <w:sz w:val="19"/>
          <w:szCs w:val="19"/>
          <w:color w:val="auto"/>
        </w:rPr>
      </w:pPr>
    </w:p>
    <w:p>
      <w:pPr>
        <w:ind w:firstLine="885"/>
        <w:spacing w:after="0" w:line="251" w:lineRule="auto"/>
        <w:tabs>
          <w:tab w:leader="none" w:pos="178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Effect</w:t>
      </w:r>
      <w:r>
        <w:rPr>
          <w:rFonts w:ascii="Arial" w:cs="Arial" w:eastAsia="Arial" w:hAnsi="Arial"/>
          <w:sz w:val="22"/>
          <w:szCs w:val="22"/>
          <w:color w:val="auto"/>
        </w:rPr>
        <w:t>. This Agreement shall be binding on and inure to the respective benefit of the Company and its successors and assigns and the Executive and Executive’s personal representatives.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58" w:name="page59"/>
    <w:bookmarkEnd w:id="58"/>
    <w:p>
      <w:pPr>
        <w:jc w:val="both"/>
        <w:ind w:firstLine="885"/>
        <w:spacing w:after="0" w:line="238" w:lineRule="auto"/>
        <w:tabs>
          <w:tab w:leader="none" w:pos="1788"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Proprietary Information Agreement and any other similar agreement regarding confidentiality, intellectual property rights, non-competition or non-solicitation constitute the entire agreement between the parties with respect to the matters set forth herein and supersede all prior agreements and understandings between the parties with respect to the same, including the Original Agreement.</w:t>
      </w:r>
    </w:p>
    <w:p>
      <w:pPr>
        <w:spacing w:after="0" w:line="185"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13.</w:t>
      </w: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w:t>
      </w:r>
    </w:p>
    <w:p>
      <w:pPr>
        <w:spacing w:after="0" w:line="173" w:lineRule="exact"/>
        <w:rPr>
          <w:sz w:val="20"/>
          <w:szCs w:val="20"/>
          <w:color w:val="auto"/>
        </w:rPr>
      </w:pPr>
    </w:p>
    <w:p>
      <w:pPr>
        <w:ind w:firstLine="885"/>
        <w:spacing w:after="0" w:line="274" w:lineRule="auto"/>
        <w:tabs>
          <w:tab w:leader="none" w:pos="1788"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Amendment and Waiver</w:t>
      </w:r>
      <w:r>
        <w:rPr>
          <w:rFonts w:ascii="Arial" w:cs="Arial" w:eastAsia="Arial" w:hAnsi="Arial"/>
          <w:sz w:val="21"/>
          <w:szCs w:val="21"/>
          <w:color w:val="auto"/>
        </w:rPr>
        <w:t>. No provision of this Agreement, including the provisions of this Section, may be amended, modified, deleted, or waived in any manner except by a written agreement executed by the parties.</w:t>
      </w:r>
    </w:p>
    <w:p>
      <w:pPr>
        <w:spacing w:after="0" w:line="150" w:lineRule="exact"/>
        <w:rPr>
          <w:rFonts w:ascii="Arial" w:cs="Arial" w:eastAsia="Arial" w:hAnsi="Arial"/>
          <w:sz w:val="21"/>
          <w:szCs w:val="21"/>
          <w:color w:val="auto"/>
        </w:rPr>
      </w:pPr>
    </w:p>
    <w:p>
      <w:pPr>
        <w:jc w:val="both"/>
        <w:ind w:firstLine="885"/>
        <w:spacing w:after="0" w:line="236" w:lineRule="auto"/>
        <w:tabs>
          <w:tab w:leader="none" w:pos="1788"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Section 409A Matters</w:t>
      </w:r>
      <w:r>
        <w:rPr>
          <w:rFonts w:ascii="Arial" w:cs="Arial" w:eastAsia="Arial" w:hAnsi="Arial"/>
          <w:sz w:val="22"/>
          <w:szCs w:val="22"/>
          <w:color w:val="auto"/>
        </w:rPr>
        <w:t>. This Agreement is intended to comply with the requirements of Section 409A of the Internal Revenue Code of 1986, as amended and the Treasury Regulations and other applicable guidance thereunder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409A</w:t>
      </w:r>
      <w:r>
        <w:rPr>
          <w:rFonts w:ascii="Arial" w:cs="Arial" w:eastAsia="Arial" w:hAnsi="Arial"/>
          <w:sz w:val="22"/>
          <w:szCs w:val="22"/>
          <w:color w:val="auto"/>
        </w:rPr>
        <w:t>”). To the extent that there is any ambiguity as to whether this Agreement (or any of its provisions) contravenes one or more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requirements of Section 409A, such provision shall be interpreted and applied in a matter that does not result in a Section 409A violation. Without limiting the generality of the above:</w:t>
      </w:r>
    </w:p>
    <w:p>
      <w:pPr>
        <w:spacing w:after="0" w:line="18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(a)For clarity, the severance benefits specified in this Agreement (the “</w:t>
      </w:r>
      <w:r>
        <w:rPr>
          <w:rFonts w:ascii="Arial" w:cs="Arial" w:eastAsia="Arial" w:hAnsi="Arial"/>
          <w:sz w:val="19"/>
          <w:szCs w:val="19"/>
          <w:b w:val="1"/>
          <w:bCs w:val="1"/>
          <w:color w:val="auto"/>
        </w:rPr>
        <w:t>Severance Benefits</w:t>
      </w:r>
      <w:r>
        <w:rPr>
          <w:rFonts w:ascii="Arial" w:cs="Arial" w:eastAsia="Arial" w:hAnsi="Arial"/>
          <w:sz w:val="19"/>
          <w:szCs w:val="19"/>
          <w:color w:val="auto"/>
        </w:rPr>
        <w:t>”) are only payable upon a “separation from service” as defined in Section 409A. The Severance Benefits shall be deemed to be series of separate payments, with each installment being treated as a separate payment. The time and form of payment of any compensation may not be deferred or accelerated to the extent it would result in an impermissible acceleration or deferral under Section 409A.</w:t>
      </w:r>
    </w:p>
    <w:p>
      <w:pPr>
        <w:spacing w:after="0" w:line="14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(b)To the extent this Agreement contains payments which are subject to Section 409A (as opposed to exempt from Section 409A), the Executive’s rights to such payments are not subject to anticipation, alienation, sale, transfer, pledge, encumbrance, attachment or garnishment and, where applicable, may only be transferred by will or the laws of descent and distribution.</w:t>
      </w:r>
    </w:p>
    <w:p>
      <w:pPr>
        <w:spacing w:after="0" w:line="13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(c)To the extent the Severance Benefits are intended to be exempt from Section 409A as a result of an “involuntary separation from service” under Section 409A, if all conditions necessary to establish the Executive’s entitlement to such Severance Benefits have been satisfied, all Severance Benefits shall be paid or provided in full no later than December 31</w:t>
      </w:r>
      <w:r>
        <w:rPr>
          <w:rFonts w:ascii="Arial" w:cs="Arial" w:eastAsia="Arial" w:hAnsi="Arial"/>
          <w:sz w:val="16"/>
          <w:szCs w:val="16"/>
          <w:color w:val="auto"/>
        </w:rPr>
        <w:t>st</w:t>
      </w:r>
      <w:r>
        <w:rPr>
          <w:rFonts w:ascii="Arial" w:cs="Arial" w:eastAsia="Arial" w:hAnsi="Arial"/>
          <w:sz w:val="19"/>
          <w:szCs w:val="19"/>
          <w:color w:val="auto"/>
        </w:rPr>
        <w:t xml:space="preserve"> of the second calendar year following the calendar year in which the Executive’s employment terminated unless another time period is applicable.</w:t>
      </w:r>
    </w:p>
    <w:p>
      <w:pPr>
        <w:spacing w:after="0" w:line="14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(d)If the Employee is a “specified employee” (as defined in Section 409A) on the termination date and a delayed payment is required by Section 409A to avoid a prohibited distribution under Section 409A, then no Severance Benefits that constitute “non-qualified deferred compensation” under Section 409A shall be paid until the earlier of (i) the first day of the 7</w:t>
      </w:r>
      <w:r>
        <w:rPr>
          <w:rFonts w:ascii="Arial" w:cs="Arial" w:eastAsia="Arial" w:hAnsi="Arial"/>
          <w:sz w:val="17"/>
          <w:szCs w:val="17"/>
          <w:color w:val="auto"/>
        </w:rPr>
        <w:t>th</w:t>
      </w:r>
      <w:r>
        <w:rPr>
          <w:rFonts w:ascii="Arial" w:cs="Arial" w:eastAsia="Arial" w:hAnsi="Arial"/>
          <w:sz w:val="21"/>
          <w:szCs w:val="21"/>
          <w:color w:val="auto"/>
        </w:rPr>
        <w:t xml:space="preserve"> month following the date of the Executive’s “separation from service” as defined in Section 409A, or (ii) the date of the Executive’s death. Upon the expiration of the applicable deferral period, all payments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59" w:name="page60"/>
    <w:bookmarkEnd w:id="59"/>
    <w:p>
      <w:pPr>
        <w:jc w:val="both"/>
        <w:spacing w:after="0" w:line="251" w:lineRule="auto"/>
        <w:rPr>
          <w:sz w:val="20"/>
          <w:szCs w:val="20"/>
          <w:color w:val="auto"/>
        </w:rPr>
      </w:pPr>
      <w:r>
        <w:rPr>
          <w:rFonts w:ascii="Arial" w:cs="Arial" w:eastAsia="Arial" w:hAnsi="Arial"/>
          <w:sz w:val="22"/>
          <w:szCs w:val="22"/>
          <w:color w:val="auto"/>
        </w:rPr>
        <w:t>deferred under this clause shall be paid in a lump sum and any remaining severance benefits shall be paid per the schedule specified in this Agreement.</w:t>
      </w:r>
    </w:p>
    <w:p>
      <w:pPr>
        <w:spacing w:after="0" w:line="1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(e)The Company makes no representation that this Agreement will be exempt from or compliant with Section 409A and makes no affirmative undertaking to preclude Section 409A from applying, but does reserve the right to unilaterally amend this Agreement as may be necessary or advisable to permit the Agreement to be in documentary and operational compliance with Section 409A which determination will be made in the sole discretion of the Company.</w:t>
      </w:r>
    </w:p>
    <w:p>
      <w:pPr>
        <w:spacing w:after="0" w:line="174" w:lineRule="exact"/>
        <w:rPr>
          <w:sz w:val="20"/>
          <w:szCs w:val="20"/>
          <w:color w:val="auto"/>
        </w:rPr>
      </w:pPr>
    </w:p>
    <w:p>
      <w:pPr>
        <w:ind w:firstLine="885"/>
        <w:spacing w:after="0" w:line="328" w:lineRule="auto"/>
        <w:tabs>
          <w:tab w:leader="none" w:pos="1788"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will be governed by and construed according to the laws of the Georgia as such laws are applied to agreements entered into and to be performed entirely within Georgia between Georgia residents.</w:t>
      </w:r>
    </w:p>
    <w:p>
      <w:pPr>
        <w:spacing w:after="0" w:line="105" w:lineRule="exact"/>
        <w:rPr>
          <w:rFonts w:ascii="Arial" w:cs="Arial" w:eastAsia="Arial" w:hAnsi="Arial"/>
          <w:sz w:val="19"/>
          <w:szCs w:val="19"/>
          <w:color w:val="auto"/>
        </w:rPr>
      </w:pPr>
    </w:p>
    <w:p>
      <w:pPr>
        <w:jc w:val="both"/>
        <w:ind w:firstLine="885"/>
        <w:spacing w:after="0" w:line="252" w:lineRule="auto"/>
        <w:tabs>
          <w:tab w:leader="none" w:pos="1788"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Consent to Jurisdiction and Venue</w:t>
      </w:r>
      <w:r>
        <w:rPr>
          <w:rFonts w:ascii="Arial" w:cs="Arial" w:eastAsia="Arial" w:hAnsi="Arial"/>
          <w:sz w:val="21"/>
          <w:szCs w:val="21"/>
          <w:color w:val="auto"/>
        </w:rPr>
        <w:t>. Each of the parties agrees that any suit, action, or proceeding arising out of this Agreement may be instituted against it in the state or federal courts located in Georgia. Each of the parties hereby waives any objection that it may have to the venue of any such suit, action, or proceeding, and each of the parties hereby irrevocably consents to the personal jurisdiction of any such court in any such suit, action, or proceeding.</w:t>
      </w:r>
    </w:p>
    <w:p>
      <w:pPr>
        <w:spacing w:after="0" w:line="174" w:lineRule="exact"/>
        <w:rPr>
          <w:rFonts w:ascii="Arial" w:cs="Arial" w:eastAsia="Arial" w:hAnsi="Arial"/>
          <w:sz w:val="21"/>
          <w:szCs w:val="21"/>
          <w:color w:val="auto"/>
        </w:rPr>
      </w:pPr>
    </w:p>
    <w:p>
      <w:pPr>
        <w:ind w:firstLine="885"/>
        <w:spacing w:after="0" w:line="251" w:lineRule="auto"/>
        <w:tabs>
          <w:tab w:leader="none" w:pos="1788"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more than one counterpart, each of which shall be deemed an original, and all of which shall be deemed a single agreement.</w:t>
      </w:r>
    </w:p>
    <w:p>
      <w:pPr>
        <w:spacing w:after="0" w:line="173" w:lineRule="exact"/>
        <w:rPr>
          <w:rFonts w:ascii="Arial" w:cs="Arial" w:eastAsia="Arial" w:hAnsi="Arial"/>
          <w:sz w:val="22"/>
          <w:szCs w:val="22"/>
          <w:color w:val="auto"/>
        </w:rPr>
      </w:pPr>
    </w:p>
    <w:p>
      <w:pPr>
        <w:ind w:left="3420" w:right="100" w:hanging="2535"/>
        <w:spacing w:after="0" w:line="456" w:lineRule="auto"/>
        <w:tabs>
          <w:tab w:leader="none" w:pos="1798"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herein are for convenience only and shall not affect the interpretation of this Agreement. [The remainder of this page is intentionally left blank.]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0" w:name="page61"/>
    <w:bookmarkEnd w:id="60"/>
    <w:p>
      <w:pPr>
        <w:spacing w:after="0"/>
        <w:rPr>
          <w:sz w:val="20"/>
          <w:szCs w:val="20"/>
          <w:color w:val="auto"/>
        </w:rPr>
      </w:pPr>
      <w:r>
        <w:rPr>
          <w:rFonts w:ascii="Arial" w:cs="Arial" w:eastAsia="Arial" w:hAnsi="Arial"/>
          <w:sz w:val="19"/>
          <w:szCs w:val="19"/>
          <w:color w:val="auto"/>
        </w:rPr>
        <w:t>IN WITNESS WHEREOF, the parties have executed this Agreement as of the day and year first above written.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Clearside Biomedical, Inc.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Daniel H. White</w:t>
      </w:r>
    </w:p>
    <w:p>
      <w:pPr>
        <w:spacing w:after="0" w:line="238" w:lineRule="auto"/>
        <w:rPr>
          <w:sz w:val="20"/>
          <w:szCs w:val="20"/>
          <w:color w:val="auto"/>
        </w:rPr>
      </w:pPr>
      <w:r>
        <w:rPr>
          <w:rFonts w:ascii="Arial" w:cs="Arial" w:eastAsia="Arial" w:hAnsi="Arial"/>
          <w:sz w:val="22"/>
          <w:szCs w:val="22"/>
          <w:color w:val="auto"/>
        </w:rPr>
        <w:t>Daniel H. White</w:t>
      </w:r>
    </w:p>
    <w:p>
      <w:pPr>
        <w:spacing w:after="0"/>
        <w:rPr>
          <w:sz w:val="20"/>
          <w:szCs w:val="20"/>
          <w:color w:val="auto"/>
        </w:rPr>
      </w:pPr>
      <w:r>
        <w:rPr>
          <w:rFonts w:ascii="Arial" w:cs="Arial" w:eastAsia="Arial" w:hAnsi="Arial"/>
          <w:sz w:val="22"/>
          <w:szCs w:val="22"/>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Glenn Noronha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Glenn Noronha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334"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color w:val="auto"/>
        </w:rPr>
        <w:t>Exhibit 10.4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LEARSIDE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IOMEDICAL</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ON</w:t>
      </w:r>
      <w:r>
        <w:rPr>
          <w:rFonts w:ascii="Arial" w:cs="Arial" w:eastAsia="Arial" w:hAnsi="Arial"/>
          <w:sz w:val="22"/>
          <w:szCs w:val="22"/>
          <w:b w:val="1"/>
          <w:bCs w:val="1"/>
          <w:color w:val="auto"/>
        </w:rPr>
        <w:t>-E</w:t>
      </w:r>
      <w:r>
        <w:rPr>
          <w:rFonts w:ascii="Arial" w:cs="Arial" w:eastAsia="Arial" w:hAnsi="Arial"/>
          <w:sz w:val="14"/>
          <w:szCs w:val="14"/>
          <w:b w:val="1"/>
          <w:bCs w:val="1"/>
          <w:color w:val="auto"/>
        </w:rPr>
        <w:t>MPLOYEE</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OLICY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and Restated effective July 1, 2017</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Each member of the Board of 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who is not also serving as an employee of Clearside Biomedical,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or any of its subsidiaries (each such member, an “</w:t>
      </w:r>
      <w:r>
        <w:rPr>
          <w:rFonts w:ascii="Arial" w:cs="Arial" w:eastAsia="Arial" w:hAnsi="Arial"/>
          <w:sz w:val="22"/>
          <w:szCs w:val="22"/>
          <w:b w:val="1"/>
          <w:bCs w:val="1"/>
          <w:i w:val="1"/>
          <w:iCs w:val="1"/>
          <w:color w:val="auto"/>
        </w:rPr>
        <w:t>Eligible Director</w:t>
      </w:r>
      <w:r>
        <w:rPr>
          <w:rFonts w:ascii="Arial" w:cs="Arial" w:eastAsia="Arial" w:hAnsi="Arial"/>
          <w:sz w:val="22"/>
          <w:szCs w:val="22"/>
          <w:color w:val="auto"/>
        </w:rPr>
        <w:t>”) will receive the compensation described in this Non-Employee Director Compensation Policy for his or her Board service. A Non-Employee Director may decline all or any portion of his or her compensation by giving notice to the Company prior to the date cash is to be paid or equity awards are to be granted, as the case may be. This policy may be amended at any time in the sole discretion of the Board or the Compensation Committee of the Board.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Cash Compensation</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annual cash compensation amount set forth below is payable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regular full quarterly payments thereafter. All annual cash fees are vested upon payment.</w:t>
      </w:r>
    </w:p>
    <w:p>
      <w:pPr>
        <w:spacing w:after="0" w:line="148" w:lineRule="exact"/>
        <w:rPr>
          <w:sz w:val="20"/>
          <w:szCs w:val="20"/>
          <w:color w:val="auto"/>
        </w:rPr>
      </w:pPr>
    </w:p>
    <w:p>
      <w:pPr>
        <w:ind w:left="880" w:hanging="872"/>
        <w:spacing w:after="0"/>
        <w:tabs>
          <w:tab w:leader="none" w:pos="88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Annual Board Service Retainer</w:t>
      </w:r>
      <w:r>
        <w:rPr>
          <w:rFonts w:ascii="Arial" w:cs="Arial" w:eastAsia="Arial" w:hAnsi="Arial"/>
          <w:sz w:val="22"/>
          <w:szCs w:val="22"/>
          <w:color w:val="auto"/>
        </w:rPr>
        <w:t>:</w:t>
      </w:r>
    </w:p>
    <w:p>
      <w:pPr>
        <w:spacing w:after="0" w:line="8" w:lineRule="exact"/>
        <w:rPr>
          <w:rFonts w:ascii="Arial" w:cs="Arial" w:eastAsia="Arial" w:hAnsi="Arial"/>
          <w:sz w:val="22"/>
          <w:szCs w:val="22"/>
          <w:color w:val="auto"/>
        </w:rPr>
      </w:pPr>
    </w:p>
    <w:p>
      <w:pPr>
        <w:ind w:left="1680" w:hanging="795"/>
        <w:spacing w:after="0" w:line="230" w:lineRule="auto"/>
        <w:tabs>
          <w:tab w:leader="none" w:pos="1680" w:val="left"/>
        </w:tabs>
        <w:numPr>
          <w:ilvl w:val="1"/>
          <w:numId w:val="66"/>
        </w:numPr>
        <w:rPr>
          <w:rFonts w:ascii="Arial" w:cs="Arial" w:eastAsia="Arial" w:hAnsi="Arial"/>
          <w:sz w:val="22"/>
          <w:szCs w:val="22"/>
          <w:color w:val="auto"/>
        </w:rPr>
      </w:pPr>
      <w:r>
        <w:rPr>
          <w:rFonts w:ascii="Arial" w:cs="Arial" w:eastAsia="Arial" w:hAnsi="Arial"/>
          <w:sz w:val="22"/>
          <w:szCs w:val="22"/>
          <w:color w:val="auto"/>
        </w:rPr>
        <w:t>All Eligible Directors: $40,000</w:t>
      </w:r>
    </w:p>
    <w:p>
      <w:pPr>
        <w:ind w:left="1740" w:hanging="868"/>
        <w:spacing w:after="0"/>
        <w:tabs>
          <w:tab w:leader="none" w:pos="1740" w:val="left"/>
        </w:tabs>
        <w:numPr>
          <w:ilvl w:val="1"/>
          <w:numId w:val="66"/>
        </w:numPr>
        <w:rPr>
          <w:rFonts w:ascii="Arial" w:cs="Arial" w:eastAsia="Arial" w:hAnsi="Arial"/>
          <w:sz w:val="22"/>
          <w:szCs w:val="22"/>
          <w:color w:val="auto"/>
        </w:rPr>
      </w:pPr>
      <w:r>
        <w:rPr>
          <w:rFonts w:ascii="Arial" w:cs="Arial" w:eastAsia="Arial" w:hAnsi="Arial"/>
          <w:sz w:val="22"/>
          <w:szCs w:val="22"/>
          <w:color w:val="auto"/>
        </w:rPr>
        <w:t>Chairman of the Board Service Retainer (in addition to Eligible Director Service Retainer): $25,000</w:t>
      </w:r>
    </w:p>
    <w:p>
      <w:pPr>
        <w:spacing w:after="0" w:line="188" w:lineRule="exact"/>
        <w:rPr>
          <w:rFonts w:ascii="Arial" w:cs="Arial" w:eastAsia="Arial" w:hAnsi="Arial"/>
          <w:sz w:val="22"/>
          <w:szCs w:val="22"/>
          <w:color w:val="auto"/>
        </w:rPr>
      </w:pPr>
    </w:p>
    <w:p>
      <w:pPr>
        <w:ind w:left="820" w:hanging="812"/>
        <w:spacing w:after="0"/>
        <w:tabs>
          <w:tab w:leader="none" w:pos="82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Annual Committee Member Service Retainer</w:t>
      </w:r>
      <w:r>
        <w:rPr>
          <w:rFonts w:ascii="Arial" w:cs="Arial" w:eastAsia="Arial" w:hAnsi="Arial"/>
          <w:sz w:val="22"/>
          <w:szCs w:val="22"/>
          <w:color w:val="auto"/>
        </w:rPr>
        <w:t>:</w:t>
      </w:r>
    </w:p>
    <w:p>
      <w:pPr>
        <w:spacing w:after="0" w:line="8" w:lineRule="exact"/>
        <w:rPr>
          <w:rFonts w:ascii="Arial" w:cs="Arial" w:eastAsia="Arial" w:hAnsi="Arial"/>
          <w:sz w:val="22"/>
          <w:szCs w:val="22"/>
          <w:color w:val="auto"/>
        </w:rPr>
      </w:pPr>
    </w:p>
    <w:p>
      <w:pPr>
        <w:ind w:left="1680" w:hanging="795"/>
        <w:spacing w:after="0" w:line="230" w:lineRule="auto"/>
        <w:tabs>
          <w:tab w:leader="none" w:pos="1680" w:val="left"/>
        </w:tabs>
        <w:numPr>
          <w:ilvl w:val="1"/>
          <w:numId w:val="66"/>
        </w:numPr>
        <w:rPr>
          <w:rFonts w:ascii="Arial" w:cs="Arial" w:eastAsia="Arial" w:hAnsi="Arial"/>
          <w:sz w:val="22"/>
          <w:szCs w:val="22"/>
          <w:color w:val="auto"/>
        </w:rPr>
      </w:pPr>
      <w:r>
        <w:rPr>
          <w:rFonts w:ascii="Arial" w:cs="Arial" w:eastAsia="Arial" w:hAnsi="Arial"/>
          <w:sz w:val="22"/>
          <w:szCs w:val="22"/>
          <w:color w:val="auto"/>
        </w:rPr>
        <w:t>Member of the Audit Committee: $8,000</w:t>
      </w:r>
    </w:p>
    <w:p>
      <w:pPr>
        <w:ind w:left="1700" w:hanging="815"/>
        <w:spacing w:after="0" w:line="230" w:lineRule="auto"/>
        <w:tabs>
          <w:tab w:leader="none" w:pos="1700" w:val="left"/>
        </w:tabs>
        <w:numPr>
          <w:ilvl w:val="2"/>
          <w:numId w:val="66"/>
        </w:numPr>
        <w:rPr>
          <w:rFonts w:ascii="Arial" w:cs="Arial" w:eastAsia="Arial" w:hAnsi="Arial"/>
          <w:sz w:val="22"/>
          <w:szCs w:val="22"/>
          <w:color w:val="auto"/>
        </w:rPr>
      </w:pPr>
      <w:r>
        <w:rPr>
          <w:rFonts w:ascii="Arial" w:cs="Arial" w:eastAsia="Arial" w:hAnsi="Arial"/>
          <w:sz w:val="22"/>
          <w:szCs w:val="22"/>
          <w:color w:val="auto"/>
        </w:rPr>
        <w:t>Member of the Compensation Committee: $6,000</w:t>
      </w:r>
    </w:p>
    <w:p>
      <w:pPr>
        <w:ind w:left="1680" w:hanging="795"/>
        <w:spacing w:after="0"/>
        <w:tabs>
          <w:tab w:leader="none" w:pos="1680" w:val="left"/>
        </w:tabs>
        <w:numPr>
          <w:ilvl w:val="2"/>
          <w:numId w:val="66"/>
        </w:numPr>
        <w:rPr>
          <w:rFonts w:ascii="Arial" w:cs="Arial" w:eastAsia="Arial" w:hAnsi="Arial"/>
          <w:sz w:val="22"/>
          <w:szCs w:val="22"/>
          <w:color w:val="auto"/>
        </w:rPr>
      </w:pPr>
      <w:r>
        <w:rPr>
          <w:rFonts w:ascii="Arial" w:cs="Arial" w:eastAsia="Arial" w:hAnsi="Arial"/>
          <w:sz w:val="22"/>
          <w:szCs w:val="22"/>
          <w:color w:val="auto"/>
        </w:rPr>
        <w:t>Member of the Nominating and Corporate Governance Committee: $4,000</w:t>
      </w:r>
    </w:p>
    <w:p>
      <w:pPr>
        <w:spacing w:after="0" w:line="188" w:lineRule="exact"/>
        <w:rPr>
          <w:rFonts w:ascii="Arial" w:cs="Arial" w:eastAsia="Arial" w:hAnsi="Arial"/>
          <w:sz w:val="22"/>
          <w:szCs w:val="22"/>
          <w:color w:val="auto"/>
        </w:rPr>
      </w:pPr>
    </w:p>
    <w:p>
      <w:pPr>
        <w:ind w:left="880" w:hanging="872"/>
        <w:spacing w:after="0"/>
        <w:tabs>
          <w:tab w:leader="none" w:pos="88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Annual Committee Chair Service Retainer (in addition to Committee Member Service Retainer)</w:t>
      </w:r>
      <w:r>
        <w:rPr>
          <w:rFonts w:ascii="Arial" w:cs="Arial" w:eastAsia="Arial" w:hAnsi="Arial"/>
          <w:sz w:val="22"/>
          <w:szCs w:val="22"/>
          <w:color w:val="auto"/>
        </w:rPr>
        <w:t>:</w:t>
      </w:r>
    </w:p>
    <w:p>
      <w:pPr>
        <w:spacing w:after="0" w:line="8" w:lineRule="exact"/>
        <w:rPr>
          <w:rFonts w:ascii="Arial" w:cs="Arial" w:eastAsia="Arial" w:hAnsi="Arial"/>
          <w:sz w:val="22"/>
          <w:szCs w:val="22"/>
          <w:color w:val="auto"/>
        </w:rPr>
      </w:pPr>
    </w:p>
    <w:p>
      <w:pPr>
        <w:ind w:left="1680" w:hanging="795"/>
        <w:spacing w:after="0" w:line="230" w:lineRule="auto"/>
        <w:tabs>
          <w:tab w:leader="none" w:pos="1680" w:val="left"/>
        </w:tabs>
        <w:numPr>
          <w:ilvl w:val="1"/>
          <w:numId w:val="66"/>
        </w:numPr>
        <w:rPr>
          <w:rFonts w:ascii="Arial" w:cs="Arial" w:eastAsia="Arial" w:hAnsi="Arial"/>
          <w:sz w:val="22"/>
          <w:szCs w:val="22"/>
          <w:color w:val="auto"/>
        </w:rPr>
      </w:pPr>
      <w:r>
        <w:rPr>
          <w:rFonts w:ascii="Arial" w:cs="Arial" w:eastAsia="Arial" w:hAnsi="Arial"/>
          <w:sz w:val="22"/>
          <w:szCs w:val="22"/>
          <w:color w:val="auto"/>
        </w:rPr>
        <w:t>Chairman of the Audit Committee: $8,000</w:t>
      </w:r>
    </w:p>
    <w:p>
      <w:pPr>
        <w:ind w:left="1700" w:hanging="815"/>
        <w:spacing w:after="0" w:line="230" w:lineRule="auto"/>
        <w:tabs>
          <w:tab w:leader="none" w:pos="1700" w:val="left"/>
        </w:tabs>
        <w:numPr>
          <w:ilvl w:val="2"/>
          <w:numId w:val="66"/>
        </w:numPr>
        <w:rPr>
          <w:rFonts w:ascii="Arial" w:cs="Arial" w:eastAsia="Arial" w:hAnsi="Arial"/>
          <w:sz w:val="22"/>
          <w:szCs w:val="22"/>
          <w:color w:val="auto"/>
        </w:rPr>
      </w:pPr>
      <w:r>
        <w:rPr>
          <w:rFonts w:ascii="Arial" w:cs="Arial" w:eastAsia="Arial" w:hAnsi="Arial"/>
          <w:sz w:val="22"/>
          <w:szCs w:val="22"/>
          <w:color w:val="auto"/>
        </w:rPr>
        <w:t>Chairman of the Compensation Committee: $6,000</w:t>
      </w:r>
    </w:p>
    <w:p>
      <w:pPr>
        <w:ind w:left="1680" w:hanging="795"/>
        <w:spacing w:after="0"/>
        <w:tabs>
          <w:tab w:leader="none" w:pos="1680" w:val="left"/>
        </w:tabs>
        <w:numPr>
          <w:ilvl w:val="2"/>
          <w:numId w:val="66"/>
        </w:numPr>
        <w:rPr>
          <w:rFonts w:ascii="Arial" w:cs="Arial" w:eastAsia="Arial" w:hAnsi="Arial"/>
          <w:sz w:val="22"/>
          <w:szCs w:val="22"/>
          <w:color w:val="auto"/>
        </w:rPr>
      </w:pPr>
      <w:r>
        <w:rPr>
          <w:rFonts w:ascii="Arial" w:cs="Arial" w:eastAsia="Arial" w:hAnsi="Arial"/>
          <w:sz w:val="22"/>
          <w:szCs w:val="22"/>
          <w:color w:val="auto"/>
        </w:rPr>
        <w:t>Chairman of the Nominating and Corporate Governance Committee: $4,000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2" w:name="page63"/>
    <w:bookmarkEnd w:id="62"/>
    <w:p>
      <w:pPr>
        <w:spacing w:after="0"/>
        <w:rPr>
          <w:sz w:val="20"/>
          <w:szCs w:val="20"/>
          <w:color w:val="auto"/>
        </w:rPr>
      </w:pPr>
      <w:r>
        <w:rPr>
          <w:rFonts w:ascii="Arial" w:cs="Arial" w:eastAsia="Arial" w:hAnsi="Arial"/>
          <w:sz w:val="22"/>
          <w:szCs w:val="22"/>
          <w:b w:val="1"/>
          <w:bCs w:val="1"/>
          <w:color w:val="auto"/>
        </w:rPr>
        <w:t>Equity Compensation</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equity compensation set forth below will be granted under the Company’s 2016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All stock options granted under this policy will be nonstatutory stock 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w:t>
      </w:r>
    </w:p>
    <w:p>
      <w:pPr>
        <w:spacing w:after="0" w:line="143" w:lineRule="exact"/>
        <w:rPr>
          <w:sz w:val="20"/>
          <w:szCs w:val="20"/>
          <w:color w:val="auto"/>
        </w:rPr>
      </w:pPr>
    </w:p>
    <w:p>
      <w:pPr>
        <w:jc w:val="both"/>
        <w:ind w:firstLine="8"/>
        <w:spacing w:after="0" w:line="248" w:lineRule="auto"/>
        <w:tabs>
          <w:tab w:leader="none" w:pos="810"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Initial Grant</w:t>
      </w:r>
      <w:r>
        <w:rPr>
          <w:rFonts w:ascii="Arial" w:cs="Arial" w:eastAsia="Arial" w:hAnsi="Arial"/>
          <w:sz w:val="21"/>
          <w:szCs w:val="21"/>
          <w:color w:val="auto"/>
        </w:rPr>
        <w:t>: For each Eligible Director who is first elected or appointed to the Board following the date hereof, on the date of such Eligible Director’s initial election or appointment to the Board (or, if such date is not a market trading day, the first market trading day thereafter), the Eligible Director will be automatically, and without further action by the Board or Compensation Committee of the Board, granted a stock option for 22,500 shares of common stock. The shares subject to each such stock option will vest in 36 equal monthly installments on the last day of each month, subject to the Eligible Director’s Continuous Service (as defined in the Plan) through such vesting date.</w:t>
      </w:r>
    </w:p>
    <w:p>
      <w:pPr>
        <w:spacing w:after="0" w:line="177" w:lineRule="exact"/>
        <w:rPr>
          <w:rFonts w:ascii="Arial" w:cs="Arial" w:eastAsia="Arial" w:hAnsi="Arial"/>
          <w:sz w:val="21"/>
          <w:szCs w:val="21"/>
          <w:color w:val="auto"/>
        </w:rPr>
      </w:pPr>
    </w:p>
    <w:p>
      <w:pPr>
        <w:jc w:val="both"/>
        <w:ind w:firstLine="8"/>
        <w:spacing w:after="0" w:line="248" w:lineRule="auto"/>
        <w:tabs>
          <w:tab w:leader="none" w:pos="810"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Annual Grant</w:t>
      </w:r>
      <w:r>
        <w:rPr>
          <w:rFonts w:ascii="Arial" w:cs="Arial" w:eastAsia="Arial" w:hAnsi="Arial"/>
          <w:sz w:val="21"/>
          <w:szCs w:val="21"/>
          <w:color w:val="auto"/>
        </w:rPr>
        <w:t>: On the date of each annual stockholders meeting of the Company held after the date hereof, each Eligible Director who continues to serve as a member of the Board following such stockholders meeting will be automatically, and without further action by the Board or Compensation Committee of the Board, granted a stock option for 11,250 shares of common stock. The shares subject to each such stock option will vest in full on the earlier of (a) the date immediately prior to the next following annual stockholder meeting and (b) the date that is 12 months after the grant date, subject to the Eligible Director’s Continuous Service (as defined in the Plan) through such vesting date.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28"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H. White, certify that:</w:t>
      </w:r>
    </w:p>
    <w:p>
      <w:pPr>
        <w:spacing w:after="0" w:line="117" w:lineRule="exact"/>
        <w:rPr>
          <w:sz w:val="20"/>
          <w:szCs w:val="20"/>
          <w:color w:val="auto"/>
        </w:rPr>
      </w:pPr>
    </w:p>
    <w:p>
      <w:pPr>
        <w:ind w:left="520" w:hanging="512"/>
        <w:spacing w:after="0"/>
        <w:tabs>
          <w:tab w:leader="none" w:pos="5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September 30, 2017 of Clearside Biomedical, Inc. (the “registrant”);</w:t>
      </w:r>
    </w:p>
    <w:p>
      <w:pPr>
        <w:spacing w:after="0" w:line="128" w:lineRule="exact"/>
        <w:rPr>
          <w:rFonts w:ascii="Arial" w:cs="Arial" w:eastAsia="Arial" w:hAnsi="Arial"/>
          <w:sz w:val="17"/>
          <w:szCs w:val="17"/>
          <w:color w:val="auto"/>
        </w:rPr>
      </w:pPr>
    </w:p>
    <w:p>
      <w:pPr>
        <w:jc w:val="both"/>
        <w:ind w:left="520" w:right="420" w:hanging="512"/>
        <w:spacing w:after="0" w:line="264"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H. White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H.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A. Deignan, certify that:</w:t>
      </w:r>
    </w:p>
    <w:p>
      <w:pPr>
        <w:spacing w:after="0" w:line="117" w:lineRule="exact"/>
        <w:rPr>
          <w:sz w:val="20"/>
          <w:szCs w:val="20"/>
          <w:color w:val="auto"/>
        </w:rPr>
      </w:pPr>
    </w:p>
    <w:p>
      <w:pPr>
        <w:ind w:left="520" w:hanging="512"/>
        <w:spacing w:after="0"/>
        <w:tabs>
          <w:tab w:leader="none" w:pos="5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September 30, 2017 of Clearside Biomedical, Inc. (the “registrant”);</w:t>
      </w:r>
    </w:p>
    <w:p>
      <w:pPr>
        <w:spacing w:after="0" w:line="128" w:lineRule="exact"/>
        <w:rPr>
          <w:rFonts w:ascii="Arial" w:cs="Arial" w:eastAsia="Arial" w:hAnsi="Arial"/>
          <w:sz w:val="17"/>
          <w:szCs w:val="17"/>
          <w:color w:val="auto"/>
        </w:rPr>
      </w:pPr>
    </w:p>
    <w:p>
      <w:pPr>
        <w:jc w:val="both"/>
        <w:ind w:left="520" w:right="420" w:hanging="512"/>
        <w:spacing w:after="0" w:line="264"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Charles A. Deignan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Daniel H. White, President and Chief Executive Officer of Clearside Biomedical, Inc. (the “Company”), and Charles A. Deignan, Chief Financial Officer of the Company, each hereby certifies that, to the best of his knowledge:</w:t>
      </w:r>
    </w:p>
    <w:p>
      <w:pPr>
        <w:spacing w:after="0" w:line="39" w:lineRule="exact"/>
        <w:rPr>
          <w:sz w:val="20"/>
          <w:szCs w:val="20"/>
          <w:color w:val="auto"/>
        </w:rPr>
      </w:pPr>
    </w:p>
    <w:p>
      <w:pPr>
        <w:ind w:left="520" w:right="180" w:hanging="512"/>
        <w:spacing w:after="0" w:line="277" w:lineRule="auto"/>
        <w:tabs>
          <w:tab w:leader="none" w:pos="52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September 30, 2017, to which this Certification is attached as Exhibit 32.1 (the “Periodic Report”), fully complies with the requirements of Section 13(a) or Section 15(d) of the Exchange Act; and</w:t>
      </w:r>
    </w:p>
    <w:p>
      <w:pPr>
        <w:spacing w:after="0" w:line="62" w:lineRule="exact"/>
        <w:rPr>
          <w:rFonts w:ascii="Arial" w:cs="Arial" w:eastAsia="Arial" w:hAnsi="Arial"/>
          <w:sz w:val="18"/>
          <w:szCs w:val="18"/>
          <w:b w:val="1"/>
          <w:bCs w:val="1"/>
          <w:color w:val="auto"/>
        </w:rPr>
      </w:pPr>
    </w:p>
    <w:p>
      <w:pPr>
        <w:ind w:left="520" w:right="580" w:hanging="512"/>
        <w:spacing w:after="0" w:line="277" w:lineRule="auto"/>
        <w:tabs>
          <w:tab w:leader="none" w:pos="52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9th day of November, 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rPr>
              <w:t>/s/ Daniel H. White</w:t>
            </w:r>
          </w:p>
        </w:tc>
        <w:tc>
          <w:tcPr>
            <w:tcW w:w="4560" w:type="dxa"/>
            <w:vAlign w:val="bottom"/>
          </w:tcPr>
          <w:p>
            <w:pPr>
              <w:spacing w:after="0"/>
              <w:rPr>
                <w:sz w:val="20"/>
                <w:szCs w:val="20"/>
                <w:color w:val="auto"/>
              </w:rPr>
            </w:pPr>
            <w:r>
              <w:rPr>
                <w:rFonts w:ascii="Arial" w:cs="Arial" w:eastAsia="Arial" w:hAnsi="Arial"/>
                <w:sz w:val="18"/>
                <w:szCs w:val="18"/>
                <w:color w:val="auto"/>
              </w:rPr>
              <w:t>/s/ Charles A. Deignan</w:t>
            </w:r>
          </w:p>
        </w:tc>
      </w:tr>
      <w:tr>
        <w:trPr>
          <w:trHeight w:val="195"/>
        </w:trPr>
        <w:tc>
          <w:tcPr>
            <w:tcW w:w="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H. White</w:t>
            </w:r>
          </w:p>
        </w:tc>
        <w:tc>
          <w:tcPr>
            <w:tcW w:w="228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A. Deignan</w:t>
            </w:r>
          </w:p>
        </w:tc>
      </w:tr>
      <w:tr>
        <w:trPr>
          <w:trHeight w:val="216"/>
        </w:trPr>
        <w:tc>
          <w:tcPr>
            <w:tcW w:w="686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42" w:lineRule="exact"/>
        <w:rPr>
          <w:sz w:val="20"/>
          <w:szCs w:val="20"/>
          <w:color w:val="auto"/>
        </w:rPr>
      </w:pPr>
    </w:p>
    <w:p>
      <w:pPr>
        <w:ind w:left="520" w:right="80" w:hanging="512"/>
        <w:spacing w:after="0" w:line="286" w:lineRule="auto"/>
        <w:tabs>
          <w:tab w:leader="none" w:pos="5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1)"/>
      <w:numFmt w:val="lowerLetter"/>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1."/>
      <w:numFmt w:val="decimal"/>
      <w:start w:val="1"/>
    </w:lvl>
  </w:abstractNum>
  <w:abstractNum w:abstractNumId="13">
    <w:nsid w:val="6A2342EC"/>
    <w:multiLevelType w:val="hybridMultilevel"/>
    <w:lvl w:ilvl="0">
      <w:lvlJc w:val="left"/>
      <w:lvlText w:val="%1."/>
      <w:numFmt w:val="decimal"/>
      <w:start w:val="4"/>
    </w:lvl>
  </w:abstractNum>
  <w:abstractNum w:abstractNumId="14">
    <w:nsid w:val="2A487CB0"/>
    <w:multiLevelType w:val="hybridMultilevel"/>
    <w:lvl w:ilvl="0">
      <w:lvlJc w:val="left"/>
      <w:lvlText w:val="(%1)"/>
      <w:numFmt w:val="lowerLetter"/>
      <w:start w:val="7"/>
    </w:lvl>
    <w:lvl w:ilvl="1">
      <w:lvlJc w:val="left"/>
      <w:lvlText w:val="%2."/>
      <w:numFmt w:val="decimal"/>
      <w:start w:val="5"/>
    </w:lvl>
  </w:abstractNum>
  <w:abstractNum w:abstractNumId="15">
    <w:nsid w:val="1D4ED43B"/>
    <w:multiLevelType w:val="hybridMultilevel"/>
    <w:lvl w:ilvl="0">
      <w:lvlJc w:val="left"/>
      <w:lvlText w:val="(%1)"/>
      <w:numFmt w:val="lowerRoman"/>
      <w:start w:val="2"/>
    </w:lvl>
  </w:abstractNum>
  <w:abstractNum w:abstractNumId="16">
    <w:nsid w:val="725A06FB"/>
    <w:multiLevelType w:val="hybridMultilevel"/>
    <w:lvl w:ilvl="0">
      <w:lvlJc w:val="left"/>
      <w:lvlText w:val="(%1)"/>
      <w:numFmt w:val="lowerRoman"/>
      <w:start w:val="4"/>
    </w:lvl>
  </w:abstractNum>
  <w:abstractNum w:abstractNumId="17">
    <w:nsid w:val="2CD89A3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8">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
    <w:nsid w:val="7A6D8D3C"/>
    <w:multiLevelType w:val="hybridMultilevel"/>
    <w:lvl w:ilvl="0">
      <w:lvlJc w:val="left"/>
      <w:lvlText w:val="(%1)"/>
      <w:numFmt w:val="decimal"/>
      <w:start w:val="4"/>
    </w:lvl>
    <w:lvl w:ilvl="1">
      <w:lvlJc w:val="left"/>
      <w:lvlText w:val="(%2)"/>
      <w:numFmt w:val="lowerRoman"/>
      <w:start w:val="3"/>
    </w:lvl>
  </w:abstractNum>
  <w:abstractNum w:abstractNumId="20">
    <w:nsid w:val="4B588F54"/>
    <w:multiLevelType w:val="hybridMultilevel"/>
    <w:lvl w:ilvl="0">
      <w:lvlJc w:val="left"/>
      <w:lvlText w:val="%1"/>
      <w:numFmt w:val="lowerLetter"/>
      <w:start w:val="1"/>
    </w:lvl>
    <w:lvl w:ilvl="1">
      <w:lvlJc w:val="left"/>
      <w:lvlText w:val="(%2)"/>
      <w:numFmt w:val="decimal"/>
      <w:start w:val="1"/>
    </w:lvl>
  </w:abstractNum>
  <w:abstractNum w:abstractNumId="21">
    <w:nsid w:val="542289EC"/>
    <w:multiLevelType w:val="hybridMultilevel"/>
    <w:lvl w:ilvl="0">
      <w:lvlJc w:val="left"/>
      <w:lvlText w:val="(%1)"/>
      <w:numFmt w:val="lowerLetter"/>
      <w:start w:val="5"/>
    </w:lvl>
    <w:lvl w:ilvl="1">
      <w:lvlJc w:val="left"/>
      <w:lvlText w:val="%2"/>
      <w:numFmt w:val="decimal"/>
      <w:start w:val="1"/>
    </w:lvl>
  </w:abstractNum>
  <w:abstractNum w:abstractNumId="22">
    <w:nsid w:val="6DE91B18"/>
    <w:multiLevelType w:val="hybridMultilevel"/>
    <w:lvl w:ilvl="0">
      <w:lvlJc w:val="left"/>
      <w:lvlText w:val="(%1)"/>
      <w:numFmt w:val="upperLetter"/>
      <w:start w:val="1"/>
    </w:lvl>
    <w:lvl w:ilvl="1">
      <w:lvlJc w:val="left"/>
      <w:lvlText w:val="%2."/>
      <w:numFmt w:val="decimal"/>
      <w:start w:val="6"/>
    </w:lvl>
  </w:abstractNum>
  <w:abstractNum w:abstractNumId="23">
    <w:nsid w:val="38437FDB"/>
    <w:multiLevelType w:val="hybridMultilevel"/>
    <w:lvl w:ilvl="0">
      <w:lvlJc w:val="left"/>
      <w:lvlText w:val="(%1)"/>
      <w:numFmt w:val="lowerRoman"/>
      <w:start w:val="2"/>
    </w:lvl>
  </w:abstractNum>
  <w:abstractNum w:abstractNumId="24">
    <w:nsid w:val="7644A45C"/>
    <w:multiLevelType w:val="hybridMultilevel"/>
    <w:lvl w:ilvl="0">
      <w:lvlJc w:val="left"/>
      <w:lvlText w:val="%1."/>
      <w:numFmt w:val="decimal"/>
      <w:start w:val="7"/>
    </w:lvl>
  </w:abstractNum>
  <w:abstractNum w:abstractNumId="25">
    <w:nsid w:val="32FFF902"/>
    <w:multiLevelType w:val="hybridMultilevel"/>
    <w:lvl w:ilvl="0">
      <w:lvlJc w:val="left"/>
      <w:lvlText w:val="(%1)"/>
      <w:numFmt w:val="lowerLetter"/>
      <w:start w:val="1"/>
    </w:lvl>
  </w:abstractNum>
  <w:abstractNum w:abstractNumId="26">
    <w:nsid w:val="684A481A"/>
    <w:multiLevelType w:val="hybridMultilevel"/>
    <w:lvl w:ilvl="0">
      <w:lvlJc w:val="left"/>
      <w:lvlText w:val="%1."/>
      <w:numFmt w:val="decimal"/>
      <w:start w:val="9"/>
    </w:lvl>
  </w:abstractNum>
  <w:abstractNum w:abstractNumId="27">
    <w:nsid w:val="579478FE"/>
    <w:multiLevelType w:val="hybridMultilevel"/>
    <w:lvl w:ilvl="0">
      <w:lvlJc w:val="left"/>
      <w:lvlText w:val="%1."/>
      <w:numFmt w:val="decimal"/>
      <w:start w:val="11"/>
    </w:lvl>
  </w:abstractNum>
  <w:abstractNum w:abstractNumId="28">
    <w:nsid w:val="749ABB43"/>
    <w:multiLevelType w:val="hybridMultilevel"/>
    <w:lvl w:ilvl="0">
      <w:lvlJc w:val="left"/>
      <w:lvlText w:val="%1."/>
      <w:numFmt w:val="decimal"/>
      <w:start w:val="16"/>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1."/>
      <w:numFmt w:val="decimal"/>
      <w:start w:val="4"/>
    </w:lvl>
  </w:abstractNum>
  <w:abstractNum w:abstractNumId="31">
    <w:nsid w:val="79A1DEAA"/>
    <w:multiLevelType w:val="hybridMultilevel"/>
    <w:lvl w:ilvl="0">
      <w:lvlJc w:val="left"/>
      <w:lvlText w:val="(%1)"/>
      <w:numFmt w:val="decimal"/>
      <w:start w:val="2"/>
    </w:lvl>
    <w:lvl w:ilvl="1">
      <w:lvlJc w:val="left"/>
      <w:lvlText w:val="(%2)"/>
      <w:numFmt w:val="lowerLetter"/>
      <w:start w:val="6"/>
    </w:lvl>
  </w:abstractNum>
  <w:abstractNum w:abstractNumId="32">
    <w:nsid w:val="75C6C33A"/>
    <w:multiLevelType w:val="hybridMultilevel"/>
    <w:lvl w:ilvl="0">
      <w:lvlJc w:val="left"/>
      <w:lvlText w:val="%1."/>
      <w:numFmt w:val="decimal"/>
      <w:start w:val="5"/>
    </w:lvl>
  </w:abstractNum>
  <w:abstractNum w:abstractNumId="33">
    <w:nsid w:val="12E685FB"/>
    <w:multiLevelType w:val="hybridMultilevel"/>
    <w:lvl w:ilvl="0">
      <w:lvlJc w:val="left"/>
      <w:lvlText w:val="(%1)"/>
      <w:numFmt w:val="upperLetter"/>
      <w:start w:val="25"/>
    </w:lvl>
  </w:abstractNum>
  <w:abstractNum w:abstractNumId="34">
    <w:nsid w:val="70C6A529"/>
    <w:multiLevelType w:val="hybridMultilevel"/>
    <w:lvl w:ilvl="0">
      <w:lvlJc w:val="left"/>
      <w:lvlText w:val="(%1)"/>
      <w:numFmt w:val="lowerRoman"/>
      <w:start w:val="2"/>
    </w:lvl>
  </w:abstractNum>
  <w:abstractNum w:abstractNumId="35">
    <w:nsid w:val="520EEDD1"/>
    <w:multiLevelType w:val="hybridMultilevel"/>
    <w:lvl w:ilvl="0">
      <w:lvlJc w:val="left"/>
      <w:lvlText w:val="(%1)"/>
      <w:numFmt w:val="lowerRoman"/>
      <w:start w:val="4"/>
    </w:lvl>
  </w:abstractNum>
  <w:abstractNum w:abstractNumId="36">
    <w:nsid w:val="374A3FE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7">
    <w:nsid w:val="4F4EF0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8">
    <w:nsid w:val="23F9C13C"/>
    <w:multiLevelType w:val="hybridMultilevel"/>
    <w:lvl w:ilvl="0">
      <w:lvlJc w:val="left"/>
      <w:lvlText w:val="(%1)"/>
      <w:numFmt w:val="decimal"/>
      <w:start w:val="4"/>
    </w:lvl>
    <w:lvl w:ilvl="1">
      <w:lvlJc w:val="left"/>
      <w:lvlText w:val="(%2)"/>
      <w:numFmt w:val="lowerRoman"/>
      <w:start w:val="3"/>
    </w:lvl>
  </w:abstractNum>
  <w:abstractNum w:abstractNumId="39">
    <w:nsid w:val="649BB77C"/>
    <w:multiLevelType w:val="hybridMultilevel"/>
    <w:lvl w:ilvl="0">
      <w:lvlJc w:val="left"/>
      <w:lvlText w:val="%1"/>
      <w:numFmt w:val="lowerLetter"/>
      <w:start w:val="1"/>
    </w:lvl>
    <w:lvl w:ilvl="1">
      <w:lvlJc w:val="left"/>
      <w:lvlText w:val="(%2)"/>
      <w:numFmt w:val="decimal"/>
      <w:start w:val="1"/>
    </w:lvl>
  </w:abstractNum>
  <w:abstractNum w:abstractNumId="40">
    <w:nsid w:val="275AC794"/>
    <w:multiLevelType w:val="hybridMultilevel"/>
    <w:lvl w:ilvl="0">
      <w:lvlJc w:val="left"/>
      <w:lvlText w:val="(%1)"/>
      <w:numFmt w:val="lowerLetter"/>
      <w:start w:val="5"/>
    </w:lvl>
    <w:lvl w:ilvl="1">
      <w:lvlJc w:val="left"/>
      <w:lvlText w:val="%2"/>
      <w:numFmt w:val="decimal"/>
      <w:start w:val="1"/>
    </w:lvl>
  </w:abstractNum>
  <w:abstractNum w:abstractNumId="41">
    <w:nsid w:val="39386575"/>
    <w:multiLevelType w:val="hybridMultilevel"/>
    <w:lvl w:ilvl="0">
      <w:lvlJc w:val="left"/>
      <w:lvlText w:val="(%1)"/>
      <w:numFmt w:val="upperLetter"/>
      <w:start w:val="1"/>
    </w:lvl>
  </w:abstractNum>
  <w:abstractNum w:abstractNumId="42">
    <w:nsid w:val="1CF10FD8"/>
    <w:multiLevelType w:val="hybridMultilevel"/>
    <w:lvl w:ilvl="0">
      <w:lvlJc w:val="left"/>
      <w:lvlText w:val="%1."/>
      <w:numFmt w:val="decimal"/>
      <w:start w:val="6"/>
    </w:lvl>
  </w:abstractNum>
  <w:abstractNum w:abstractNumId="43">
    <w:nsid w:val="180115BE"/>
    <w:multiLevelType w:val="hybridMultilevel"/>
    <w:lvl w:ilvl="0">
      <w:lvlJc w:val="left"/>
      <w:lvlText w:val="(%1)"/>
      <w:numFmt w:val="lowerRoman"/>
      <w:start w:val="2"/>
    </w:lvl>
  </w:abstractNum>
  <w:abstractNum w:abstractNumId="44">
    <w:nsid w:val="235BA861"/>
    <w:multiLevelType w:val="hybridMultilevel"/>
    <w:lvl w:ilvl="0">
      <w:lvlJc w:val="left"/>
      <w:lvlText w:val="%1."/>
      <w:numFmt w:val="decimal"/>
      <w:start w:val="7"/>
    </w:lvl>
  </w:abstractNum>
  <w:abstractNum w:abstractNumId="45">
    <w:nsid w:val="47398C89"/>
    <w:multiLevelType w:val="hybridMultilevel"/>
    <w:lvl w:ilvl="0">
      <w:lvlJc w:val="left"/>
      <w:lvlText w:val="%1."/>
      <w:numFmt w:val="decimal"/>
      <w:start w:val="9"/>
    </w:lvl>
  </w:abstractNum>
  <w:abstractNum w:abstractNumId="46">
    <w:nsid w:val="354FE9F9"/>
    <w:multiLevelType w:val="hybridMultilevel"/>
    <w:lvl w:ilvl="0">
      <w:lvlJc w:val="left"/>
      <w:lvlText w:val="%1."/>
      <w:numFmt w:val="decimal"/>
      <w:start w:val="12"/>
    </w:lvl>
  </w:abstractNum>
  <w:abstractNum w:abstractNumId="47">
    <w:nsid w:val="15B5AF5C"/>
    <w:multiLevelType w:val="hybridMultilevel"/>
    <w:lvl w:ilvl="0">
      <w:lvlJc w:val="left"/>
      <w:lvlText w:val="%1."/>
      <w:numFmt w:val="decimal"/>
      <w:start w:val="16"/>
    </w:lvl>
  </w:abstractNum>
  <w:abstractNum w:abstractNumId="48">
    <w:nsid w:val="741226BB"/>
    <w:multiLevelType w:val="hybridMultilevel"/>
    <w:lvl w:ilvl="0">
      <w:lvlJc w:val="left"/>
      <w:lvlText w:val="(%1)"/>
      <w:numFmt w:val="decimal"/>
      <w:start w:val="2"/>
    </w:lvl>
    <w:lvl w:ilvl="1">
      <w:lvlJc w:val="left"/>
      <w:lvlText w:val="(%2)"/>
      <w:numFmt w:val="lowerLetter"/>
      <w:start w:val="6"/>
    </w:lvl>
  </w:abstractNum>
  <w:abstractNum w:abstractNumId="49">
    <w:nsid w:val="D34B6A8"/>
    <w:multiLevelType w:val="hybridMultilevel"/>
    <w:lvl w:ilvl="0">
      <w:lvlJc w:val="left"/>
      <w:lvlText w:val="(%1)"/>
      <w:numFmt w:val="lowerLetter"/>
      <w:start w:val="7"/>
    </w:lvl>
    <w:lvl w:ilvl="1">
      <w:lvlJc w:val="left"/>
      <w:lvlText w:val="%2."/>
      <w:numFmt w:val="decimal"/>
      <w:start w:val="5"/>
    </w:lvl>
  </w:abstractNum>
  <w:abstractNum w:abstractNumId="50">
    <w:nsid w:val="10233C99"/>
    <w:multiLevelType w:val="hybridMultilevel"/>
    <w:lvl w:ilvl="0">
      <w:lvlJc w:val="left"/>
      <w:lvlText w:val="(%1)"/>
      <w:numFmt w:val="lowerRoman"/>
      <w:start w:val="1"/>
    </w:lvl>
  </w:abstractNum>
  <w:abstractNum w:abstractNumId="51">
    <w:nsid w:val="3F6AB60F"/>
    <w:multiLevelType w:val="hybridMultilevel"/>
    <w:lvl w:ilvl="0">
      <w:lvlJc w:val="left"/>
      <w:lvlText w:val="(%1)"/>
      <w:numFmt w:val="lowerRoman"/>
      <w:start w:val="2"/>
    </w:lvl>
  </w:abstractNum>
  <w:abstractNum w:abstractNumId="52">
    <w:nsid w:val="61574095"/>
    <w:multiLevelType w:val="hybridMultilevel"/>
    <w:lvl w:ilvl="0">
      <w:lvlJc w:val="left"/>
      <w:lvlText w:val="(%1)"/>
      <w:numFmt w:val="lowerRoman"/>
      <w:start w:val="4"/>
    </w:lvl>
  </w:abstractNum>
  <w:abstractNum w:abstractNumId="53">
    <w:nsid w:val="7E0C57B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4">
    <w:nsid w:val="77AE35E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
    <w:nsid w:val="579BE4F1"/>
    <w:multiLevelType w:val="hybridMultilevel"/>
    <w:lvl w:ilvl="0">
      <w:lvlJc w:val="left"/>
      <w:lvlText w:val="(%1)"/>
      <w:numFmt w:val="decimal"/>
      <w:start w:val="4"/>
    </w:lvl>
    <w:lvl w:ilvl="1">
      <w:lvlJc w:val="left"/>
      <w:lvlText w:val="(%2)"/>
      <w:numFmt w:val="lowerRoman"/>
      <w:start w:val="3"/>
    </w:lvl>
  </w:abstractNum>
  <w:abstractNum w:abstractNumId="56">
    <w:nsid w:val="310C50B3"/>
    <w:multiLevelType w:val="hybridMultilevel"/>
    <w:lvl w:ilvl="0">
      <w:lvlJc w:val="left"/>
      <w:lvlText w:val="(%1)"/>
      <w:numFmt w:val="decimal"/>
      <w:start w:val="1"/>
    </w:lvl>
  </w:abstractNum>
  <w:abstractNum w:abstractNumId="57">
    <w:nsid w:val="5FF87E05"/>
    <w:multiLevelType w:val="hybridMultilevel"/>
    <w:lvl w:ilvl="0">
      <w:lvlJc w:val="left"/>
      <w:lvlText w:val="(%1)"/>
      <w:numFmt w:val="lowerLetter"/>
      <w:start w:val="5"/>
    </w:lvl>
  </w:abstractNum>
  <w:abstractNum w:abstractNumId="58">
    <w:nsid w:val="2F305DEF"/>
    <w:multiLevelType w:val="hybridMultilevel"/>
    <w:lvl w:ilvl="0">
      <w:lvlJc w:val="left"/>
      <w:lvlText w:val="(%1)"/>
      <w:numFmt w:val="upperLetter"/>
      <w:start w:val="1"/>
    </w:lvl>
    <w:lvl w:ilvl="1">
      <w:lvlJc w:val="left"/>
      <w:lvlText w:val="%2."/>
      <w:numFmt w:val="decimal"/>
      <w:start w:val="6"/>
    </w:lvl>
  </w:abstractNum>
  <w:abstractNum w:abstractNumId="59">
    <w:nsid w:val="25A70BF7"/>
    <w:multiLevelType w:val="hybridMultilevel"/>
    <w:lvl w:ilvl="0">
      <w:lvlJc w:val="left"/>
      <w:lvlText w:val="(%1)"/>
      <w:numFmt w:val="lowerRoman"/>
      <w:start w:val="2"/>
    </w:lvl>
  </w:abstractNum>
  <w:abstractNum w:abstractNumId="60">
    <w:nsid w:val="1DBABF00"/>
    <w:multiLevelType w:val="hybridMultilevel"/>
    <w:lvl w:ilvl="0">
      <w:lvlJc w:val="left"/>
      <w:lvlText w:val="%1."/>
      <w:numFmt w:val="decimal"/>
      <w:start w:val="7"/>
    </w:lvl>
  </w:abstractNum>
  <w:abstractNum w:abstractNumId="61">
    <w:nsid w:val="4AD084E9"/>
    <w:multiLevelType w:val="hybridMultilevel"/>
    <w:lvl w:ilvl="0">
      <w:lvlJc w:val="left"/>
      <w:lvlText w:val="%1."/>
      <w:numFmt w:val="decimal"/>
      <w:start w:val="9"/>
    </w:lvl>
  </w:abstractNum>
  <w:abstractNum w:abstractNumId="62">
    <w:nsid w:val="1F48EAA1"/>
    <w:multiLevelType w:val="hybridMultilevel"/>
    <w:lvl w:ilvl="0">
      <w:lvlJc w:val="left"/>
      <w:lvlText w:val="%1."/>
      <w:numFmt w:val="decimal"/>
      <w:start w:val="12"/>
    </w:lvl>
  </w:abstractNum>
  <w:abstractNum w:abstractNumId="63">
    <w:nsid w:val="1381823A"/>
    <w:multiLevelType w:val="hybridMultilevel"/>
    <w:lvl w:ilvl="0">
      <w:lvlJc w:val="left"/>
      <w:lvlText w:val="%1."/>
      <w:numFmt w:val="decimal"/>
      <w:start w:val="14"/>
    </w:lvl>
  </w:abstractNum>
  <w:abstractNum w:abstractNumId="64">
    <w:nsid w:val="5DB70AE5"/>
    <w:multiLevelType w:val="hybridMultilevel"/>
    <w:lvl w:ilvl="0">
      <w:lvlJc w:val="left"/>
      <w:lvlText w:val="%1."/>
      <w:numFmt w:val="decimal"/>
      <w:start w:val="16"/>
    </w:lvl>
  </w:abstractNum>
  <w:abstractNum w:abstractNumId="65">
    <w:nsid w:val="100F8FC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6">
    <w:nsid w:val="6590700B"/>
    <w:multiLevelType w:val="hybridMultilevel"/>
    <w:lvl w:ilvl="0">
      <w:lvlJc w:val="left"/>
      <w:lvlText w:val="%1."/>
      <w:numFmt w:val="decimal"/>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48" Type="http://schemas.openxmlformats.org/officeDocument/2006/relationships/hyperlink" Target="http://www.sec.gov/Archives/edgar/data/1539029/000119312516615374/d208521dex31.htm" TargetMode="External"/><Relationship Id="rId49" Type="http://schemas.openxmlformats.org/officeDocument/2006/relationships/hyperlink" Target="http://www.sec.gov/Archives/edgar/data/1539029/000119312516615374/d20852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2019-12-29T03:18:47Z</dcterms:created>
  <dcterms:modified xsi:type="dcterms:W3CDTF">2019-12-29T03:18:47Z</dcterms:modified>
</cp:coreProperties>
</file>